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E082" w14:textId="073F453E" w:rsidR="002F0A44" w:rsidRDefault="002F0A44" w:rsidP="00E95848">
      <w:pPr>
        <w:widowControl w:val="0"/>
        <w:rPr>
          <w:rFonts w:ascii="Arial" w:hAnsi="Arial" w:cs="Arial"/>
          <w:sz w:val="24"/>
          <w:szCs w:val="24"/>
        </w:rPr>
      </w:pPr>
      <w:bookmarkStart w:id="0" w:name="_GoBack"/>
      <w:bookmarkEnd w:id="0"/>
    </w:p>
    <w:p w14:paraId="625B7008" w14:textId="71695920" w:rsidR="00A811EC" w:rsidRPr="00B72044" w:rsidRDefault="009B3FA4" w:rsidP="00E95848">
      <w:pPr>
        <w:widowControl w:val="0"/>
        <w:rPr>
          <w:rFonts w:ascii="Arial" w:hAnsi="Arial" w:cs="Arial"/>
          <w:sz w:val="24"/>
          <w:szCs w:val="24"/>
        </w:rPr>
      </w:pPr>
      <w:r w:rsidRPr="00B72044">
        <w:rPr>
          <w:rFonts w:ascii="Arial" w:hAnsi="Arial" w:cs="Arial"/>
          <w:sz w:val="24"/>
          <w:szCs w:val="24"/>
        </w:rPr>
        <w:t>O</w:t>
      </w:r>
      <w:r w:rsidR="00821EDA" w:rsidRPr="00B72044">
        <w:rPr>
          <w:rFonts w:ascii="Arial" w:hAnsi="Arial" w:cs="Arial"/>
          <w:sz w:val="24"/>
          <w:szCs w:val="24"/>
        </w:rPr>
        <w:t xml:space="preserve">wners </w:t>
      </w:r>
      <w:r w:rsidRPr="00B72044">
        <w:rPr>
          <w:rFonts w:ascii="Arial" w:hAnsi="Arial" w:cs="Arial"/>
          <w:sz w:val="24"/>
          <w:szCs w:val="24"/>
        </w:rPr>
        <w:t xml:space="preserve">of all lots </w:t>
      </w:r>
      <w:r w:rsidR="00897D7C" w:rsidRPr="00B72044">
        <w:rPr>
          <w:rFonts w:ascii="Arial" w:hAnsi="Arial" w:cs="Arial"/>
          <w:sz w:val="24"/>
          <w:szCs w:val="24"/>
        </w:rPr>
        <w:t>subject to</w:t>
      </w:r>
      <w:r w:rsidR="004741EF" w:rsidRPr="00B72044">
        <w:rPr>
          <w:rFonts w:ascii="Arial" w:hAnsi="Arial" w:cs="Arial"/>
          <w:sz w:val="24"/>
          <w:szCs w:val="24"/>
        </w:rPr>
        <w:t xml:space="preserve"> a termination proposal process </w:t>
      </w:r>
      <w:r w:rsidR="00821EDA" w:rsidRPr="00B72044">
        <w:rPr>
          <w:rFonts w:ascii="Arial" w:hAnsi="Arial" w:cs="Arial"/>
          <w:sz w:val="24"/>
          <w:szCs w:val="24"/>
        </w:rPr>
        <w:t xml:space="preserve">are offered protections under the </w:t>
      </w:r>
      <w:r w:rsidR="00553E52" w:rsidRPr="00B72044">
        <w:rPr>
          <w:rFonts w:ascii="Arial" w:hAnsi="Arial" w:cs="Arial"/>
          <w:i/>
          <w:iCs/>
          <w:sz w:val="24"/>
          <w:szCs w:val="24"/>
        </w:rPr>
        <w:t>Strata Titles Act 1985</w:t>
      </w:r>
      <w:r w:rsidR="00553E52" w:rsidRPr="00B72044">
        <w:rPr>
          <w:rFonts w:ascii="Arial" w:hAnsi="Arial" w:cs="Arial"/>
          <w:sz w:val="24"/>
          <w:szCs w:val="24"/>
        </w:rPr>
        <w:t xml:space="preserve"> (Act) </w:t>
      </w:r>
      <w:r w:rsidR="00821EDA" w:rsidRPr="00B72044">
        <w:rPr>
          <w:rFonts w:ascii="Arial" w:hAnsi="Arial" w:cs="Arial"/>
          <w:sz w:val="24"/>
          <w:szCs w:val="24"/>
        </w:rPr>
        <w:t>to ensure their views and concerns are given fair consideration</w:t>
      </w:r>
      <w:r w:rsidR="0097315D" w:rsidRPr="00B72044">
        <w:rPr>
          <w:rFonts w:ascii="Arial" w:hAnsi="Arial" w:cs="Arial"/>
          <w:sz w:val="24"/>
          <w:szCs w:val="24"/>
        </w:rPr>
        <w:t>, with additional resources and support provided to owners</w:t>
      </w:r>
      <w:r w:rsidR="00236311" w:rsidRPr="00B72044">
        <w:rPr>
          <w:rFonts w:ascii="Arial" w:hAnsi="Arial" w:cs="Arial"/>
          <w:sz w:val="24"/>
          <w:szCs w:val="24"/>
        </w:rPr>
        <w:t xml:space="preserve"> who are identified as vulnerable</w:t>
      </w:r>
      <w:r w:rsidR="00E475C4" w:rsidRPr="00B72044">
        <w:rPr>
          <w:rFonts w:ascii="Arial" w:hAnsi="Arial" w:cs="Arial"/>
          <w:sz w:val="24"/>
          <w:szCs w:val="24"/>
        </w:rPr>
        <w:t xml:space="preserve"> </w:t>
      </w:r>
      <w:r w:rsidR="0034028D" w:rsidRPr="00B72044">
        <w:rPr>
          <w:rFonts w:ascii="Arial" w:hAnsi="Arial" w:cs="Arial"/>
          <w:sz w:val="24"/>
          <w:szCs w:val="24"/>
        </w:rPr>
        <w:t xml:space="preserve">persons </w:t>
      </w:r>
      <w:r w:rsidR="00254A18" w:rsidRPr="00B72044">
        <w:rPr>
          <w:rFonts w:ascii="Arial" w:hAnsi="Arial" w:cs="Arial"/>
          <w:sz w:val="24"/>
          <w:szCs w:val="24"/>
        </w:rPr>
        <w:t>(vulnerable owners) u</w:t>
      </w:r>
      <w:r w:rsidR="00E475C4" w:rsidRPr="00B72044">
        <w:rPr>
          <w:rFonts w:ascii="Arial" w:hAnsi="Arial" w:cs="Arial"/>
          <w:sz w:val="24"/>
          <w:szCs w:val="24"/>
        </w:rPr>
        <w:t xml:space="preserve">nder the </w:t>
      </w:r>
      <w:r w:rsidR="0034028D" w:rsidRPr="00B72044">
        <w:rPr>
          <w:rFonts w:ascii="Arial" w:hAnsi="Arial" w:cs="Arial"/>
          <w:i/>
          <w:iCs/>
          <w:sz w:val="24"/>
          <w:szCs w:val="24"/>
        </w:rPr>
        <w:t>Strata Titles (General) Regulations 2019</w:t>
      </w:r>
      <w:r w:rsidR="00254A18" w:rsidRPr="00B72044">
        <w:rPr>
          <w:rFonts w:ascii="Arial" w:hAnsi="Arial" w:cs="Arial"/>
          <w:i/>
          <w:iCs/>
          <w:sz w:val="24"/>
          <w:szCs w:val="24"/>
        </w:rPr>
        <w:t xml:space="preserve"> </w:t>
      </w:r>
      <w:r w:rsidR="00254A18" w:rsidRPr="00B72044">
        <w:rPr>
          <w:rFonts w:ascii="Arial" w:hAnsi="Arial" w:cs="Arial"/>
          <w:sz w:val="24"/>
          <w:szCs w:val="24"/>
        </w:rPr>
        <w:t>(Regulations)</w:t>
      </w:r>
      <w:r w:rsidR="007C6543" w:rsidRPr="00B72044">
        <w:rPr>
          <w:rFonts w:ascii="Arial" w:hAnsi="Arial" w:cs="Arial"/>
          <w:sz w:val="24"/>
          <w:szCs w:val="24"/>
        </w:rPr>
        <w:t>.</w:t>
      </w:r>
      <w:r w:rsidR="0034028D" w:rsidRPr="00B72044">
        <w:rPr>
          <w:rFonts w:ascii="Arial" w:hAnsi="Arial" w:cs="Arial"/>
          <w:sz w:val="24"/>
          <w:szCs w:val="24"/>
        </w:rPr>
        <w:t xml:space="preserve"> </w:t>
      </w:r>
      <w:r w:rsidR="00A14006" w:rsidRPr="00B72044">
        <w:rPr>
          <w:rFonts w:ascii="Arial" w:hAnsi="Arial" w:cs="Arial"/>
          <w:sz w:val="24"/>
          <w:szCs w:val="24"/>
        </w:rPr>
        <w:t>For</w:t>
      </w:r>
      <w:r w:rsidR="004D2F07" w:rsidRPr="00B72044">
        <w:rPr>
          <w:rFonts w:ascii="Arial" w:hAnsi="Arial" w:cs="Arial"/>
          <w:sz w:val="24"/>
          <w:szCs w:val="24"/>
        </w:rPr>
        <w:t xml:space="preserve"> </w:t>
      </w:r>
      <w:r w:rsidR="004741EF" w:rsidRPr="00B72044">
        <w:rPr>
          <w:rFonts w:ascii="Arial" w:hAnsi="Arial" w:cs="Arial"/>
          <w:sz w:val="24"/>
          <w:szCs w:val="24"/>
        </w:rPr>
        <w:t>a</w:t>
      </w:r>
      <w:r w:rsidR="00F22A23" w:rsidRPr="00B72044">
        <w:rPr>
          <w:rFonts w:ascii="Arial" w:hAnsi="Arial" w:cs="Arial"/>
          <w:sz w:val="24"/>
          <w:szCs w:val="24"/>
        </w:rPr>
        <w:t xml:space="preserve"> unanimous owner-initiated termination process, </w:t>
      </w:r>
      <w:r w:rsidR="00D768C6" w:rsidRPr="00B72044">
        <w:rPr>
          <w:rFonts w:ascii="Arial" w:hAnsi="Arial" w:cs="Arial"/>
          <w:sz w:val="24"/>
          <w:szCs w:val="24"/>
        </w:rPr>
        <w:t xml:space="preserve">the legal </w:t>
      </w:r>
      <w:r w:rsidR="00960F84" w:rsidRPr="00B72044">
        <w:rPr>
          <w:rFonts w:ascii="Arial" w:hAnsi="Arial" w:cs="Arial"/>
          <w:sz w:val="24"/>
          <w:szCs w:val="24"/>
        </w:rPr>
        <w:t>requirements</w:t>
      </w:r>
      <w:r w:rsidR="00D768C6" w:rsidRPr="00B72044">
        <w:rPr>
          <w:rFonts w:ascii="Arial" w:hAnsi="Arial" w:cs="Arial"/>
          <w:sz w:val="24"/>
          <w:szCs w:val="24"/>
        </w:rPr>
        <w:t xml:space="preserve"> have been </w:t>
      </w:r>
      <w:r w:rsidR="00DE08D1" w:rsidRPr="00B72044">
        <w:rPr>
          <w:rFonts w:ascii="Arial" w:hAnsi="Arial" w:cs="Arial"/>
          <w:sz w:val="24"/>
          <w:szCs w:val="24"/>
        </w:rPr>
        <w:t>modified</w:t>
      </w:r>
      <w:r w:rsidR="00960F84" w:rsidRPr="00B72044">
        <w:rPr>
          <w:rFonts w:ascii="Arial" w:hAnsi="Arial" w:cs="Arial"/>
          <w:sz w:val="24"/>
          <w:szCs w:val="24"/>
        </w:rPr>
        <w:t xml:space="preserve"> </w:t>
      </w:r>
      <w:r w:rsidR="00D768C6" w:rsidRPr="00B72044">
        <w:rPr>
          <w:rFonts w:ascii="Arial" w:hAnsi="Arial" w:cs="Arial"/>
          <w:sz w:val="24"/>
          <w:szCs w:val="24"/>
        </w:rPr>
        <w:t xml:space="preserve">to reflect the </w:t>
      </w:r>
      <w:r w:rsidR="00430F04" w:rsidRPr="00B72044">
        <w:rPr>
          <w:rFonts w:ascii="Arial" w:hAnsi="Arial" w:cs="Arial"/>
          <w:sz w:val="24"/>
          <w:szCs w:val="24"/>
        </w:rPr>
        <w:t>owners’</w:t>
      </w:r>
      <w:r w:rsidR="00D768C6" w:rsidRPr="00B72044">
        <w:rPr>
          <w:rFonts w:ascii="Arial" w:hAnsi="Arial" w:cs="Arial"/>
          <w:sz w:val="24"/>
          <w:szCs w:val="24"/>
        </w:rPr>
        <w:t xml:space="preserve"> unanimous position</w:t>
      </w:r>
      <w:r w:rsidR="00430F04" w:rsidRPr="00B72044">
        <w:rPr>
          <w:rFonts w:ascii="Arial" w:hAnsi="Arial" w:cs="Arial"/>
          <w:sz w:val="24"/>
          <w:szCs w:val="24"/>
        </w:rPr>
        <w:t xml:space="preserve"> in favour of </w:t>
      </w:r>
      <w:r w:rsidR="009C0766" w:rsidRPr="00B72044">
        <w:rPr>
          <w:rFonts w:ascii="Arial" w:hAnsi="Arial" w:cs="Arial"/>
          <w:sz w:val="24"/>
          <w:szCs w:val="24"/>
        </w:rPr>
        <w:t>a termination proposal</w:t>
      </w:r>
      <w:r w:rsidR="00960F84" w:rsidRPr="00B72044">
        <w:rPr>
          <w:rFonts w:ascii="Arial" w:hAnsi="Arial" w:cs="Arial"/>
          <w:sz w:val="24"/>
          <w:szCs w:val="24"/>
        </w:rPr>
        <w:t xml:space="preserve"> (see Part 15 Division 9 </w:t>
      </w:r>
      <w:r w:rsidR="00AB34BE">
        <w:rPr>
          <w:rFonts w:ascii="Arial" w:hAnsi="Arial" w:cs="Arial"/>
          <w:sz w:val="24"/>
          <w:szCs w:val="24"/>
        </w:rPr>
        <w:t xml:space="preserve">of the Regulations </w:t>
      </w:r>
      <w:r w:rsidR="00960F84" w:rsidRPr="00B72044">
        <w:rPr>
          <w:rFonts w:ascii="Arial" w:hAnsi="Arial" w:cs="Arial"/>
          <w:sz w:val="24"/>
          <w:szCs w:val="24"/>
        </w:rPr>
        <w:t xml:space="preserve">for full </w:t>
      </w:r>
      <w:r w:rsidR="00E94B19" w:rsidRPr="00B72044">
        <w:rPr>
          <w:rFonts w:ascii="Arial" w:hAnsi="Arial" w:cs="Arial"/>
          <w:sz w:val="24"/>
          <w:szCs w:val="24"/>
        </w:rPr>
        <w:t xml:space="preserve">details). </w:t>
      </w:r>
      <w:r w:rsidR="006E75AF" w:rsidRPr="00B72044">
        <w:rPr>
          <w:rFonts w:ascii="Arial" w:hAnsi="Arial" w:cs="Arial"/>
          <w:sz w:val="24"/>
          <w:szCs w:val="24"/>
        </w:rPr>
        <w:t xml:space="preserve">These modifications include that no funding is provided </w:t>
      </w:r>
      <w:r w:rsidR="003820C3" w:rsidRPr="00B72044">
        <w:rPr>
          <w:rFonts w:ascii="Arial" w:hAnsi="Arial" w:cs="Arial"/>
          <w:sz w:val="24"/>
          <w:szCs w:val="24"/>
        </w:rPr>
        <w:t>by the proponent for owners to obtain advice on the full termination proposal</w:t>
      </w:r>
      <w:r w:rsidR="001A526A" w:rsidRPr="00B72044">
        <w:rPr>
          <w:rFonts w:ascii="Arial" w:hAnsi="Arial" w:cs="Arial"/>
          <w:sz w:val="24"/>
          <w:szCs w:val="24"/>
        </w:rPr>
        <w:t xml:space="preserve"> and </w:t>
      </w:r>
      <w:r w:rsidR="00516CD6" w:rsidRPr="00B72044">
        <w:rPr>
          <w:rFonts w:ascii="Arial" w:hAnsi="Arial" w:cs="Arial"/>
          <w:sz w:val="24"/>
          <w:szCs w:val="24"/>
        </w:rPr>
        <w:t xml:space="preserve">for vulnerable owners to receive additional funding </w:t>
      </w:r>
      <w:r w:rsidR="00E07385" w:rsidRPr="00B72044">
        <w:rPr>
          <w:rFonts w:ascii="Arial" w:hAnsi="Arial" w:cs="Arial"/>
          <w:sz w:val="24"/>
          <w:szCs w:val="24"/>
        </w:rPr>
        <w:t>for ancillary services.</w:t>
      </w:r>
      <w:r w:rsidR="00D31324" w:rsidRPr="00B72044">
        <w:rPr>
          <w:rFonts w:ascii="Arial" w:hAnsi="Arial" w:cs="Arial"/>
          <w:sz w:val="24"/>
          <w:szCs w:val="24"/>
        </w:rPr>
        <w:t xml:space="preserve"> </w:t>
      </w:r>
      <w:r w:rsidR="004B0D69" w:rsidRPr="00B72044">
        <w:rPr>
          <w:rFonts w:ascii="Arial" w:hAnsi="Arial" w:cs="Arial"/>
          <w:sz w:val="24"/>
          <w:szCs w:val="24"/>
        </w:rPr>
        <w:t>A dissenting owner is an owner of a lot who votes against the termination resolution</w:t>
      </w:r>
      <w:r w:rsidR="00AB34BE">
        <w:rPr>
          <w:rFonts w:ascii="Arial" w:hAnsi="Arial" w:cs="Arial"/>
          <w:sz w:val="24"/>
          <w:szCs w:val="24"/>
        </w:rPr>
        <w:t xml:space="preserve"> on the </w:t>
      </w:r>
      <w:r w:rsidR="000C5477">
        <w:rPr>
          <w:rFonts w:ascii="Arial" w:hAnsi="Arial" w:cs="Arial"/>
          <w:sz w:val="24"/>
          <w:szCs w:val="24"/>
        </w:rPr>
        <w:t>f</w:t>
      </w:r>
      <w:r w:rsidR="00AB34BE">
        <w:rPr>
          <w:rFonts w:ascii="Arial" w:hAnsi="Arial" w:cs="Arial"/>
          <w:sz w:val="24"/>
          <w:szCs w:val="24"/>
        </w:rPr>
        <w:t xml:space="preserve">ull </w:t>
      </w:r>
      <w:r w:rsidR="000C5477">
        <w:rPr>
          <w:rFonts w:ascii="Arial" w:hAnsi="Arial" w:cs="Arial"/>
          <w:sz w:val="24"/>
          <w:szCs w:val="24"/>
        </w:rPr>
        <w:t xml:space="preserve">termination </w:t>
      </w:r>
      <w:r w:rsidR="00AB34BE">
        <w:rPr>
          <w:rFonts w:ascii="Arial" w:hAnsi="Arial" w:cs="Arial"/>
          <w:sz w:val="24"/>
          <w:szCs w:val="24"/>
        </w:rPr>
        <w:t>proposal</w:t>
      </w:r>
      <w:r w:rsidR="005B25A3" w:rsidRPr="00B72044">
        <w:rPr>
          <w:rFonts w:ascii="Arial" w:hAnsi="Arial" w:cs="Arial"/>
          <w:sz w:val="24"/>
          <w:szCs w:val="24"/>
        </w:rPr>
        <w:t xml:space="preserve">. </w:t>
      </w:r>
      <w:r w:rsidR="00185A40" w:rsidRPr="00B72044">
        <w:rPr>
          <w:rFonts w:ascii="Arial" w:hAnsi="Arial" w:cs="Arial"/>
          <w:sz w:val="24"/>
          <w:szCs w:val="24"/>
        </w:rPr>
        <w:t>If the proponent can proceed to have the termination resolution confirmed by the State Administrative Tribunal</w:t>
      </w:r>
      <w:r w:rsidR="00AA590E" w:rsidRPr="00B72044">
        <w:rPr>
          <w:rFonts w:ascii="Arial" w:hAnsi="Arial" w:cs="Arial"/>
          <w:sz w:val="24"/>
          <w:szCs w:val="24"/>
        </w:rPr>
        <w:t xml:space="preserve"> </w:t>
      </w:r>
      <w:r w:rsidR="00DA38CA" w:rsidRPr="00B72044">
        <w:rPr>
          <w:rFonts w:ascii="Arial" w:hAnsi="Arial" w:cs="Arial"/>
          <w:sz w:val="24"/>
          <w:szCs w:val="24"/>
        </w:rPr>
        <w:t xml:space="preserve">(SAT) </w:t>
      </w:r>
      <w:r w:rsidR="008C125A" w:rsidRPr="00B72044">
        <w:rPr>
          <w:rFonts w:ascii="Arial" w:hAnsi="Arial" w:cs="Arial"/>
          <w:sz w:val="24"/>
          <w:szCs w:val="24"/>
        </w:rPr>
        <w:t>–</w:t>
      </w:r>
      <w:r w:rsidR="00AA590E" w:rsidRPr="00B72044">
        <w:rPr>
          <w:rFonts w:ascii="Arial" w:hAnsi="Arial" w:cs="Arial"/>
          <w:sz w:val="24"/>
          <w:szCs w:val="24"/>
        </w:rPr>
        <w:t xml:space="preserve"> </w:t>
      </w:r>
      <w:r w:rsidR="008C125A" w:rsidRPr="00B72044">
        <w:rPr>
          <w:rFonts w:ascii="Arial" w:hAnsi="Arial" w:cs="Arial"/>
          <w:sz w:val="24"/>
          <w:szCs w:val="24"/>
        </w:rPr>
        <w:t>(</w:t>
      </w:r>
      <w:r w:rsidR="00D004DE" w:rsidRPr="00B72044">
        <w:rPr>
          <w:rFonts w:ascii="Arial" w:hAnsi="Arial" w:cs="Arial"/>
          <w:sz w:val="24"/>
          <w:szCs w:val="24"/>
        </w:rPr>
        <w:t xml:space="preserve">Votes </w:t>
      </w:r>
      <w:r w:rsidR="00D20740" w:rsidRPr="00B72044">
        <w:rPr>
          <w:rFonts w:ascii="Arial" w:hAnsi="Arial" w:cs="Arial"/>
          <w:sz w:val="24"/>
          <w:szCs w:val="24"/>
        </w:rPr>
        <w:t xml:space="preserve">attached to at least </w:t>
      </w:r>
      <w:r w:rsidR="00D004DE" w:rsidRPr="00B72044">
        <w:rPr>
          <w:rFonts w:ascii="Arial" w:hAnsi="Arial" w:cs="Arial"/>
          <w:sz w:val="24"/>
          <w:szCs w:val="24"/>
        </w:rPr>
        <w:t>80</w:t>
      </w:r>
      <w:r w:rsidR="007D192A" w:rsidRPr="00B72044">
        <w:rPr>
          <w:rFonts w:ascii="Arial" w:hAnsi="Arial" w:cs="Arial"/>
          <w:sz w:val="24"/>
          <w:szCs w:val="24"/>
        </w:rPr>
        <w:t>%</w:t>
      </w:r>
      <w:r w:rsidR="00D004DE" w:rsidRPr="00B72044">
        <w:rPr>
          <w:rFonts w:ascii="Arial" w:hAnsi="Arial" w:cs="Arial"/>
          <w:sz w:val="24"/>
          <w:szCs w:val="24"/>
        </w:rPr>
        <w:t xml:space="preserve"> of the lots in </w:t>
      </w:r>
      <w:r w:rsidR="00962660" w:rsidRPr="00B72044">
        <w:rPr>
          <w:rFonts w:ascii="Arial" w:hAnsi="Arial" w:cs="Arial"/>
          <w:sz w:val="24"/>
          <w:szCs w:val="24"/>
        </w:rPr>
        <w:t>a</w:t>
      </w:r>
      <w:r w:rsidR="00D004DE" w:rsidRPr="00B72044">
        <w:rPr>
          <w:rFonts w:ascii="Arial" w:hAnsi="Arial" w:cs="Arial"/>
          <w:sz w:val="24"/>
          <w:szCs w:val="24"/>
        </w:rPr>
        <w:t xml:space="preserve"> scheme of </w:t>
      </w:r>
      <w:r w:rsidR="007D192A" w:rsidRPr="00B72044">
        <w:rPr>
          <w:rFonts w:ascii="Arial" w:hAnsi="Arial" w:cs="Arial"/>
          <w:sz w:val="24"/>
          <w:szCs w:val="24"/>
        </w:rPr>
        <w:t>more than 4 lots</w:t>
      </w:r>
      <w:r w:rsidR="00D20740" w:rsidRPr="00B72044">
        <w:rPr>
          <w:rFonts w:ascii="Arial" w:hAnsi="Arial" w:cs="Arial"/>
          <w:sz w:val="24"/>
          <w:szCs w:val="24"/>
        </w:rPr>
        <w:t xml:space="preserve"> are cast in favour of the resolution</w:t>
      </w:r>
      <w:r w:rsidR="007D192A" w:rsidRPr="00B72044">
        <w:rPr>
          <w:rFonts w:ascii="Arial" w:hAnsi="Arial" w:cs="Arial"/>
          <w:sz w:val="24"/>
          <w:szCs w:val="24"/>
        </w:rPr>
        <w:t>)</w:t>
      </w:r>
      <w:r w:rsidR="00AA590E" w:rsidRPr="00B72044">
        <w:rPr>
          <w:rFonts w:ascii="Arial" w:hAnsi="Arial" w:cs="Arial"/>
          <w:sz w:val="24"/>
          <w:szCs w:val="24"/>
        </w:rPr>
        <w:t xml:space="preserve"> </w:t>
      </w:r>
      <w:r w:rsidR="00DE20EE" w:rsidRPr="00B72044">
        <w:rPr>
          <w:rFonts w:ascii="Arial" w:hAnsi="Arial" w:cs="Arial"/>
          <w:sz w:val="24"/>
          <w:szCs w:val="24"/>
        </w:rPr>
        <w:t xml:space="preserve">dissenting owners are eligible for funding for representation </w:t>
      </w:r>
      <w:r w:rsidR="00235371" w:rsidRPr="00B72044">
        <w:rPr>
          <w:rFonts w:ascii="Arial" w:hAnsi="Arial" w:cs="Arial"/>
          <w:sz w:val="24"/>
          <w:szCs w:val="24"/>
        </w:rPr>
        <w:t xml:space="preserve">in the proceedings </w:t>
      </w:r>
      <w:r w:rsidR="00DE20EE" w:rsidRPr="00B72044">
        <w:rPr>
          <w:rFonts w:ascii="Arial" w:hAnsi="Arial" w:cs="Arial"/>
          <w:sz w:val="24"/>
          <w:szCs w:val="24"/>
        </w:rPr>
        <w:t xml:space="preserve">at </w:t>
      </w:r>
      <w:r w:rsidR="00235371" w:rsidRPr="00B72044">
        <w:rPr>
          <w:rFonts w:ascii="Arial" w:hAnsi="Arial" w:cs="Arial"/>
          <w:sz w:val="24"/>
          <w:szCs w:val="24"/>
        </w:rPr>
        <w:t>SAT</w:t>
      </w:r>
      <w:r w:rsidR="00DE20EE" w:rsidRPr="00B72044">
        <w:rPr>
          <w:rFonts w:ascii="Arial" w:hAnsi="Arial" w:cs="Arial"/>
          <w:sz w:val="24"/>
          <w:szCs w:val="24"/>
        </w:rPr>
        <w:t xml:space="preserve"> and </w:t>
      </w:r>
      <w:r w:rsidR="00DA38CA" w:rsidRPr="00B72044">
        <w:rPr>
          <w:rFonts w:ascii="Arial" w:hAnsi="Arial" w:cs="Arial"/>
          <w:sz w:val="24"/>
          <w:szCs w:val="24"/>
        </w:rPr>
        <w:t>dissenting owners who are vulnerable persons are eligible for ancillary services to assist with the representation.</w:t>
      </w:r>
    </w:p>
    <w:p w14:paraId="45B03224" w14:textId="752220ED" w:rsidR="001B77BE" w:rsidRDefault="00AD0367" w:rsidP="00E95848">
      <w:pPr>
        <w:widowControl w:val="0"/>
        <w:rPr>
          <w:rFonts w:ascii="Arial" w:hAnsi="Arial" w:cs="Arial"/>
          <w:sz w:val="24"/>
          <w:szCs w:val="24"/>
        </w:rPr>
      </w:pPr>
      <w:r w:rsidRPr="00B72044">
        <w:rPr>
          <w:rFonts w:ascii="Arial" w:hAnsi="Arial" w:cs="Arial"/>
          <w:sz w:val="24"/>
          <w:szCs w:val="24"/>
        </w:rPr>
        <w:t xml:space="preserve">The following matrix has been developed </w:t>
      </w:r>
      <w:r w:rsidR="005337A8" w:rsidRPr="00B72044">
        <w:rPr>
          <w:rFonts w:ascii="Arial" w:hAnsi="Arial" w:cs="Arial"/>
          <w:sz w:val="24"/>
          <w:szCs w:val="24"/>
        </w:rPr>
        <w:t>for purposes of</w:t>
      </w:r>
      <w:r w:rsidRPr="00B72044">
        <w:rPr>
          <w:rFonts w:ascii="Arial" w:hAnsi="Arial" w:cs="Arial"/>
          <w:sz w:val="24"/>
          <w:szCs w:val="24"/>
        </w:rPr>
        <w:t xml:space="preserve"> s.175(1)(j) </w:t>
      </w:r>
      <w:r w:rsidR="00E07385" w:rsidRPr="00B72044">
        <w:rPr>
          <w:rFonts w:ascii="Arial" w:hAnsi="Arial" w:cs="Arial"/>
          <w:sz w:val="24"/>
          <w:szCs w:val="24"/>
        </w:rPr>
        <w:t xml:space="preserve">of the Act </w:t>
      </w:r>
      <w:r w:rsidR="005337A8" w:rsidRPr="00B72044">
        <w:rPr>
          <w:rFonts w:ascii="Arial" w:hAnsi="Arial" w:cs="Arial"/>
          <w:sz w:val="24"/>
          <w:szCs w:val="24"/>
        </w:rPr>
        <w:t xml:space="preserve">and </w:t>
      </w:r>
      <w:r w:rsidR="008C1BB2" w:rsidRPr="00B72044">
        <w:rPr>
          <w:rFonts w:ascii="Arial" w:hAnsi="Arial" w:cs="Arial"/>
          <w:sz w:val="24"/>
          <w:szCs w:val="24"/>
        </w:rPr>
        <w:t xml:space="preserve">regulation 155(2)d) of the Regulations </w:t>
      </w:r>
      <w:r w:rsidRPr="00B72044">
        <w:rPr>
          <w:rFonts w:ascii="Arial" w:hAnsi="Arial" w:cs="Arial"/>
          <w:sz w:val="24"/>
          <w:szCs w:val="24"/>
        </w:rPr>
        <w:t xml:space="preserve">to explain what </w:t>
      </w:r>
      <w:r w:rsidR="00FE0BEA" w:rsidRPr="00B72044">
        <w:rPr>
          <w:rFonts w:ascii="Arial" w:hAnsi="Arial" w:cs="Arial"/>
          <w:sz w:val="24"/>
          <w:szCs w:val="24"/>
        </w:rPr>
        <w:t xml:space="preserve">support and resources are offered to owners as they navigate the termination </w:t>
      </w:r>
      <w:r w:rsidR="003B4346" w:rsidRPr="00B72044">
        <w:rPr>
          <w:rFonts w:ascii="Arial" w:hAnsi="Arial" w:cs="Arial"/>
          <w:sz w:val="24"/>
          <w:szCs w:val="24"/>
        </w:rPr>
        <w:t>proposal</w:t>
      </w:r>
      <w:r w:rsidR="00FE0BEA" w:rsidRPr="00B72044">
        <w:rPr>
          <w:rFonts w:ascii="Arial" w:hAnsi="Arial" w:cs="Arial"/>
          <w:sz w:val="24"/>
          <w:szCs w:val="24"/>
        </w:rPr>
        <w:t xml:space="preserve"> process (referred to </w:t>
      </w:r>
      <w:r w:rsidR="00554474" w:rsidRPr="00B72044">
        <w:rPr>
          <w:rFonts w:ascii="Arial" w:hAnsi="Arial" w:cs="Arial"/>
          <w:sz w:val="24"/>
          <w:szCs w:val="24"/>
        </w:rPr>
        <w:t xml:space="preserve">in the Regulations </w:t>
      </w:r>
      <w:r w:rsidR="00FE0BEA" w:rsidRPr="00B72044">
        <w:rPr>
          <w:rFonts w:ascii="Arial" w:hAnsi="Arial" w:cs="Arial"/>
          <w:sz w:val="24"/>
          <w:szCs w:val="24"/>
        </w:rPr>
        <w:t xml:space="preserve">as </w:t>
      </w:r>
      <w:r w:rsidRPr="00B72044">
        <w:rPr>
          <w:rFonts w:ascii="Arial" w:hAnsi="Arial" w:cs="Arial"/>
          <w:sz w:val="24"/>
          <w:szCs w:val="24"/>
        </w:rPr>
        <w:t>dissenting owner protections</w:t>
      </w:r>
      <w:r w:rsidR="00FE0BEA" w:rsidRPr="00B72044">
        <w:rPr>
          <w:rFonts w:ascii="Arial" w:hAnsi="Arial" w:cs="Arial"/>
          <w:sz w:val="24"/>
          <w:szCs w:val="24"/>
        </w:rPr>
        <w:t>).</w:t>
      </w:r>
      <w:r w:rsidRPr="00B72044">
        <w:rPr>
          <w:rFonts w:ascii="Arial" w:hAnsi="Arial" w:cs="Arial"/>
          <w:sz w:val="24"/>
          <w:szCs w:val="24"/>
        </w:rPr>
        <w:t xml:space="preserve"> </w:t>
      </w:r>
      <w:r w:rsidR="00D56879" w:rsidRPr="00B72044">
        <w:rPr>
          <w:rFonts w:ascii="Arial" w:hAnsi="Arial" w:cs="Arial"/>
          <w:sz w:val="24"/>
          <w:szCs w:val="24"/>
        </w:rPr>
        <w:t>The protections vary in</w:t>
      </w:r>
      <w:r w:rsidRPr="00B72044">
        <w:rPr>
          <w:rFonts w:ascii="Arial" w:hAnsi="Arial" w:cs="Arial"/>
          <w:sz w:val="24"/>
          <w:szCs w:val="24"/>
        </w:rPr>
        <w:t xml:space="preserve"> how they </w:t>
      </w:r>
      <w:r w:rsidR="00D56879" w:rsidRPr="00B72044">
        <w:rPr>
          <w:rFonts w:ascii="Arial" w:hAnsi="Arial" w:cs="Arial"/>
          <w:sz w:val="24"/>
          <w:szCs w:val="24"/>
        </w:rPr>
        <w:t xml:space="preserve">are </w:t>
      </w:r>
      <w:r w:rsidRPr="00B72044">
        <w:rPr>
          <w:rFonts w:ascii="Arial" w:hAnsi="Arial" w:cs="Arial"/>
          <w:sz w:val="24"/>
          <w:szCs w:val="24"/>
        </w:rPr>
        <w:t>app</w:t>
      </w:r>
      <w:r w:rsidR="00D56879" w:rsidRPr="00B72044">
        <w:rPr>
          <w:rFonts w:ascii="Arial" w:hAnsi="Arial" w:cs="Arial"/>
          <w:sz w:val="24"/>
          <w:szCs w:val="24"/>
        </w:rPr>
        <w:t>lied</w:t>
      </w:r>
      <w:r w:rsidR="00826B22" w:rsidRPr="00B72044">
        <w:rPr>
          <w:rFonts w:ascii="Arial" w:hAnsi="Arial" w:cs="Arial"/>
          <w:sz w:val="24"/>
          <w:szCs w:val="24"/>
        </w:rPr>
        <w:t xml:space="preserve"> to each scenario (i.e.</w:t>
      </w:r>
      <w:r w:rsidR="00821EDA" w:rsidRPr="00B72044">
        <w:rPr>
          <w:rFonts w:ascii="Arial" w:hAnsi="Arial" w:cs="Arial"/>
          <w:sz w:val="24"/>
          <w:szCs w:val="24"/>
        </w:rPr>
        <w:t xml:space="preserve"> a </w:t>
      </w:r>
      <w:r w:rsidRPr="00B72044">
        <w:rPr>
          <w:rFonts w:ascii="Arial" w:hAnsi="Arial" w:cs="Arial"/>
          <w:sz w:val="24"/>
          <w:szCs w:val="24"/>
        </w:rPr>
        <w:t xml:space="preserve">unanimous owner-initiated termination </w:t>
      </w:r>
      <w:r w:rsidR="000C5477">
        <w:rPr>
          <w:rFonts w:ascii="Arial" w:hAnsi="Arial" w:cs="Arial"/>
          <w:sz w:val="24"/>
          <w:szCs w:val="24"/>
        </w:rPr>
        <w:t xml:space="preserve">proposal </w:t>
      </w:r>
      <w:r w:rsidRPr="00B72044">
        <w:rPr>
          <w:rFonts w:ascii="Arial" w:hAnsi="Arial" w:cs="Arial"/>
          <w:sz w:val="24"/>
          <w:szCs w:val="24"/>
        </w:rPr>
        <w:t xml:space="preserve">process </w:t>
      </w:r>
      <w:r w:rsidR="00821EDA" w:rsidRPr="00B72044">
        <w:rPr>
          <w:rFonts w:ascii="Arial" w:hAnsi="Arial" w:cs="Arial"/>
          <w:sz w:val="24"/>
          <w:szCs w:val="24"/>
        </w:rPr>
        <w:t>or</w:t>
      </w:r>
      <w:r w:rsidRPr="00B72044">
        <w:rPr>
          <w:rFonts w:ascii="Arial" w:hAnsi="Arial" w:cs="Arial"/>
          <w:sz w:val="24"/>
          <w:szCs w:val="24"/>
        </w:rPr>
        <w:t xml:space="preserve"> where there is not unanimous support</w:t>
      </w:r>
      <w:r w:rsidR="00826B22" w:rsidRPr="00B72044">
        <w:rPr>
          <w:rFonts w:ascii="Arial" w:hAnsi="Arial" w:cs="Arial"/>
          <w:sz w:val="24"/>
          <w:szCs w:val="24"/>
        </w:rPr>
        <w:t>)</w:t>
      </w:r>
      <w:r w:rsidRPr="00B72044">
        <w:rPr>
          <w:rFonts w:ascii="Arial" w:hAnsi="Arial" w:cs="Arial"/>
          <w:sz w:val="24"/>
          <w:szCs w:val="24"/>
        </w:rPr>
        <w:t xml:space="preserve">. </w:t>
      </w:r>
      <w:r w:rsidR="00B47C3C" w:rsidRPr="00B72044">
        <w:rPr>
          <w:rFonts w:ascii="Arial" w:hAnsi="Arial" w:cs="Arial"/>
          <w:sz w:val="24"/>
          <w:szCs w:val="24"/>
        </w:rPr>
        <w:t xml:space="preserve">It is important </w:t>
      </w:r>
      <w:r w:rsidR="00D65B20" w:rsidRPr="00B72044">
        <w:rPr>
          <w:rFonts w:ascii="Arial" w:hAnsi="Arial" w:cs="Arial"/>
          <w:sz w:val="24"/>
          <w:szCs w:val="24"/>
        </w:rPr>
        <w:t>for</w:t>
      </w:r>
      <w:r w:rsidR="00B47C3C" w:rsidRPr="00B72044">
        <w:rPr>
          <w:rFonts w:ascii="Arial" w:hAnsi="Arial" w:cs="Arial"/>
          <w:sz w:val="24"/>
          <w:szCs w:val="24"/>
        </w:rPr>
        <w:t xml:space="preserve"> owners </w:t>
      </w:r>
      <w:r w:rsidR="00D65B20" w:rsidRPr="00B72044">
        <w:rPr>
          <w:rFonts w:ascii="Arial" w:hAnsi="Arial" w:cs="Arial"/>
          <w:sz w:val="24"/>
          <w:szCs w:val="24"/>
        </w:rPr>
        <w:t xml:space="preserve">to know if </w:t>
      </w:r>
      <w:r w:rsidR="00BF36D6" w:rsidRPr="00B72044">
        <w:rPr>
          <w:rFonts w:ascii="Arial" w:hAnsi="Arial" w:cs="Arial"/>
          <w:sz w:val="24"/>
          <w:szCs w:val="24"/>
        </w:rPr>
        <w:t xml:space="preserve">they are participating in </w:t>
      </w:r>
      <w:r w:rsidR="001B4CB0" w:rsidRPr="00B72044">
        <w:rPr>
          <w:rFonts w:ascii="Arial" w:hAnsi="Arial" w:cs="Arial"/>
          <w:sz w:val="24"/>
          <w:szCs w:val="24"/>
        </w:rPr>
        <w:t>the modified u</w:t>
      </w:r>
      <w:r w:rsidR="0038450D" w:rsidRPr="00B72044">
        <w:rPr>
          <w:rFonts w:ascii="Arial" w:hAnsi="Arial" w:cs="Arial"/>
          <w:sz w:val="24"/>
          <w:szCs w:val="24"/>
        </w:rPr>
        <w:t xml:space="preserve">nanimous owner-initiated termination proposal process or </w:t>
      </w:r>
      <w:r w:rsidR="001B4CB0" w:rsidRPr="00B72044">
        <w:rPr>
          <w:rFonts w:ascii="Arial" w:hAnsi="Arial" w:cs="Arial"/>
          <w:sz w:val="24"/>
          <w:szCs w:val="24"/>
        </w:rPr>
        <w:t>not</w:t>
      </w:r>
      <w:r w:rsidR="009B6E25" w:rsidRPr="00B72044">
        <w:rPr>
          <w:rFonts w:ascii="Arial" w:hAnsi="Arial" w:cs="Arial"/>
          <w:sz w:val="24"/>
          <w:szCs w:val="24"/>
        </w:rPr>
        <w:t xml:space="preserve"> and the protections provided under each process</w:t>
      </w:r>
      <w:r w:rsidR="001B4CB0" w:rsidRPr="00B72044">
        <w:rPr>
          <w:rFonts w:ascii="Arial" w:hAnsi="Arial" w:cs="Arial"/>
          <w:sz w:val="24"/>
          <w:szCs w:val="24"/>
        </w:rPr>
        <w:t>.</w:t>
      </w:r>
    </w:p>
    <w:p w14:paraId="6C541019" w14:textId="77777777" w:rsidR="00160405" w:rsidRPr="00B72044" w:rsidRDefault="00160405" w:rsidP="00E95848">
      <w:pPr>
        <w:widowControl w:val="0"/>
        <w:rPr>
          <w:rFonts w:ascii="Arial" w:hAnsi="Arial" w:cs="Arial"/>
          <w:sz w:val="24"/>
          <w:szCs w:val="24"/>
        </w:rPr>
      </w:pPr>
    </w:p>
    <w:tbl>
      <w:tblPr>
        <w:tblStyle w:val="TableGrid"/>
        <w:tblW w:w="0" w:type="auto"/>
        <w:jc w:val="center"/>
        <w:tblLook w:val="04A0" w:firstRow="1" w:lastRow="0" w:firstColumn="1" w:lastColumn="0" w:noHBand="0" w:noVBand="1"/>
      </w:tblPr>
      <w:tblGrid>
        <w:gridCol w:w="2975"/>
        <w:gridCol w:w="1910"/>
        <w:gridCol w:w="8435"/>
        <w:gridCol w:w="8221"/>
      </w:tblGrid>
      <w:tr w:rsidR="001B77BE" w:rsidRPr="00B72044" w14:paraId="298393C8" w14:textId="77777777" w:rsidTr="00292F28">
        <w:trPr>
          <w:tblHeader/>
          <w:jc w:val="center"/>
        </w:trPr>
        <w:tc>
          <w:tcPr>
            <w:tcW w:w="2975" w:type="dxa"/>
          </w:tcPr>
          <w:p w14:paraId="13805B22" w14:textId="77777777" w:rsidR="001B77BE" w:rsidRPr="00B72044" w:rsidRDefault="001B77BE" w:rsidP="007512E9">
            <w:pPr>
              <w:widowControl w:val="0"/>
              <w:rPr>
                <w:rFonts w:ascii="Arial" w:hAnsi="Arial" w:cs="Arial"/>
                <w:b/>
                <w:sz w:val="24"/>
                <w:szCs w:val="24"/>
              </w:rPr>
            </w:pPr>
            <w:r w:rsidRPr="00B72044">
              <w:rPr>
                <w:rFonts w:ascii="Arial" w:eastAsia="Times New Roman" w:hAnsi="Arial" w:cs="Arial"/>
                <w:b/>
                <w:sz w:val="24"/>
                <w:szCs w:val="24"/>
                <w:lang w:val="en-AU"/>
              </w:rPr>
              <w:t xml:space="preserve">Dissenting owner protections </w:t>
            </w:r>
            <w:r w:rsidRPr="00B72044">
              <w:rPr>
                <w:rFonts w:ascii="Arial" w:eastAsia="Times New Roman" w:hAnsi="Arial" w:cs="Arial"/>
                <w:b/>
                <w:bCs/>
                <w:sz w:val="24"/>
                <w:szCs w:val="24"/>
                <w:lang w:val="en-AU"/>
              </w:rPr>
              <w:t>are</w:t>
            </w:r>
            <w:r w:rsidRPr="00B72044">
              <w:rPr>
                <w:rFonts w:ascii="Arial" w:eastAsia="Times New Roman" w:hAnsi="Arial" w:cs="Arial"/>
                <w:b/>
                <w:sz w:val="24"/>
                <w:szCs w:val="24"/>
                <w:lang w:val="en-AU"/>
              </w:rPr>
              <w:t xml:space="preserve"> throughout the termination proposal process</w:t>
            </w:r>
          </w:p>
        </w:tc>
        <w:tc>
          <w:tcPr>
            <w:tcW w:w="1910" w:type="dxa"/>
          </w:tcPr>
          <w:p w14:paraId="3E34E8D7" w14:textId="77777777" w:rsidR="001B77BE" w:rsidRPr="00B72044" w:rsidRDefault="001B77BE" w:rsidP="007512E9">
            <w:pPr>
              <w:widowControl w:val="0"/>
              <w:rPr>
                <w:rFonts w:ascii="Arial" w:eastAsia="Times New Roman" w:hAnsi="Arial" w:cs="Arial"/>
                <w:b/>
                <w:bCs/>
                <w:sz w:val="24"/>
                <w:szCs w:val="24"/>
                <w:lang w:val="en-AU"/>
              </w:rPr>
            </w:pPr>
            <w:r w:rsidRPr="00B72044">
              <w:rPr>
                <w:rFonts w:ascii="Arial" w:eastAsia="Times New Roman" w:hAnsi="Arial" w:cs="Arial"/>
                <w:b/>
                <w:bCs/>
                <w:sz w:val="24"/>
                <w:szCs w:val="24"/>
                <w:lang w:val="en-AU"/>
              </w:rPr>
              <w:t xml:space="preserve">Section </w:t>
            </w:r>
            <w:r>
              <w:rPr>
                <w:rFonts w:ascii="Arial" w:eastAsia="Times New Roman" w:hAnsi="Arial" w:cs="Arial"/>
                <w:b/>
                <w:bCs/>
                <w:sz w:val="24"/>
                <w:szCs w:val="24"/>
                <w:lang w:val="en-AU"/>
              </w:rPr>
              <w:t>of the Act</w:t>
            </w:r>
          </w:p>
        </w:tc>
        <w:tc>
          <w:tcPr>
            <w:tcW w:w="8435" w:type="dxa"/>
          </w:tcPr>
          <w:p w14:paraId="0ED55082" w14:textId="77777777" w:rsidR="001B77BE" w:rsidRPr="00B72044" w:rsidRDefault="001B77BE" w:rsidP="007512E9">
            <w:pPr>
              <w:widowControl w:val="0"/>
              <w:rPr>
                <w:rFonts w:ascii="Arial" w:eastAsia="Times New Roman" w:hAnsi="Arial" w:cs="Arial"/>
                <w:b/>
                <w:bCs/>
                <w:sz w:val="24"/>
                <w:szCs w:val="24"/>
                <w:lang w:val="en-AU"/>
              </w:rPr>
            </w:pPr>
            <w:r w:rsidRPr="00B72044">
              <w:rPr>
                <w:rFonts w:ascii="Arial" w:eastAsia="Times New Roman" w:hAnsi="Arial" w:cs="Arial"/>
                <w:b/>
                <w:bCs/>
                <w:sz w:val="24"/>
                <w:szCs w:val="24"/>
                <w:lang w:val="en-AU"/>
              </w:rPr>
              <w:t>Not a unanimous owner-initiated termination proposal</w:t>
            </w:r>
          </w:p>
          <w:p w14:paraId="287E3AE2" w14:textId="77777777" w:rsidR="001B77BE" w:rsidRPr="00B72044" w:rsidRDefault="001B77BE" w:rsidP="007512E9">
            <w:pPr>
              <w:widowControl w:val="0"/>
              <w:rPr>
                <w:rFonts w:ascii="Arial" w:hAnsi="Arial" w:cs="Arial"/>
                <w:b/>
                <w:bCs/>
                <w:sz w:val="24"/>
                <w:szCs w:val="24"/>
              </w:rPr>
            </w:pPr>
          </w:p>
        </w:tc>
        <w:tc>
          <w:tcPr>
            <w:tcW w:w="8221" w:type="dxa"/>
          </w:tcPr>
          <w:p w14:paraId="0DA5B7A9" w14:textId="77777777" w:rsidR="001B77BE" w:rsidRPr="00B72044" w:rsidRDefault="001B77BE" w:rsidP="007512E9">
            <w:pPr>
              <w:widowControl w:val="0"/>
              <w:rPr>
                <w:rFonts w:ascii="Arial" w:hAnsi="Arial" w:cs="Arial"/>
                <w:b/>
                <w:bCs/>
                <w:sz w:val="24"/>
                <w:szCs w:val="24"/>
              </w:rPr>
            </w:pPr>
            <w:r w:rsidRPr="00B72044">
              <w:rPr>
                <w:rFonts w:ascii="Arial" w:eastAsia="Times New Roman" w:hAnsi="Arial" w:cs="Arial"/>
                <w:b/>
                <w:bCs/>
                <w:sz w:val="24"/>
                <w:szCs w:val="24"/>
                <w:lang w:val="en-AU"/>
              </w:rPr>
              <w:t xml:space="preserve">Identified unanimous owner-initiated termination proposal </w:t>
            </w:r>
          </w:p>
        </w:tc>
      </w:tr>
      <w:tr w:rsidR="001B77BE" w:rsidRPr="00B72044" w14:paraId="5EC271B3" w14:textId="77777777" w:rsidTr="00292F28">
        <w:trPr>
          <w:jc w:val="center"/>
        </w:trPr>
        <w:tc>
          <w:tcPr>
            <w:tcW w:w="2975" w:type="dxa"/>
          </w:tcPr>
          <w:p w14:paraId="37C91AC7"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Independent advocate provisions </w:t>
            </w:r>
          </w:p>
        </w:tc>
        <w:tc>
          <w:tcPr>
            <w:tcW w:w="1910" w:type="dxa"/>
          </w:tcPr>
          <w:p w14:paraId="391503D5"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s178A </w:t>
            </w:r>
          </w:p>
          <w:p w14:paraId="7640DD6A" w14:textId="77777777" w:rsidR="001B77BE" w:rsidRPr="00B72044" w:rsidRDefault="001B77BE" w:rsidP="007512E9">
            <w:pPr>
              <w:widowControl w:val="0"/>
              <w:rPr>
                <w:rFonts w:ascii="Arial" w:hAnsi="Arial" w:cs="Arial"/>
                <w:sz w:val="24"/>
                <w:szCs w:val="24"/>
              </w:rPr>
            </w:pPr>
          </w:p>
        </w:tc>
        <w:tc>
          <w:tcPr>
            <w:tcW w:w="8435" w:type="dxa"/>
          </w:tcPr>
          <w:p w14:paraId="317B1FF3" w14:textId="77777777" w:rsidR="001B77BE" w:rsidRPr="00B72044" w:rsidRDefault="001B77BE" w:rsidP="007512E9">
            <w:pPr>
              <w:widowControl w:val="0"/>
              <w:rPr>
                <w:rFonts w:ascii="Arial" w:hAnsi="Arial" w:cs="Arial"/>
                <w:sz w:val="24"/>
                <w:szCs w:val="24"/>
              </w:rPr>
            </w:pPr>
            <w:r>
              <w:rPr>
                <w:rFonts w:ascii="Arial" w:hAnsi="Arial" w:cs="Arial"/>
                <w:sz w:val="24"/>
                <w:szCs w:val="24"/>
              </w:rPr>
              <w:t xml:space="preserve">The strata company appoints an independent advocate to assist owners and others affected by a full termination proposal to understand the proposal. </w:t>
            </w:r>
            <w:r w:rsidRPr="00B72044">
              <w:rPr>
                <w:rFonts w:ascii="Arial" w:hAnsi="Arial" w:cs="Arial"/>
                <w:sz w:val="24"/>
                <w:szCs w:val="24"/>
              </w:rPr>
              <w:t xml:space="preserve">The independent advocate prepares an independent assessment of the full </w:t>
            </w:r>
            <w:r>
              <w:rPr>
                <w:rFonts w:ascii="Arial" w:hAnsi="Arial" w:cs="Arial"/>
                <w:sz w:val="24"/>
                <w:szCs w:val="24"/>
              </w:rPr>
              <w:t xml:space="preserve">termination </w:t>
            </w:r>
            <w:r w:rsidRPr="00B72044">
              <w:rPr>
                <w:rFonts w:ascii="Arial" w:hAnsi="Arial" w:cs="Arial"/>
                <w:sz w:val="24"/>
                <w:szCs w:val="24"/>
              </w:rPr>
              <w:t>proposal and presents it to the strata company</w:t>
            </w:r>
            <w:r>
              <w:rPr>
                <w:rFonts w:ascii="Arial" w:hAnsi="Arial" w:cs="Arial"/>
                <w:sz w:val="24"/>
                <w:szCs w:val="24"/>
              </w:rPr>
              <w:t xml:space="preserve"> and other affected persons</w:t>
            </w:r>
            <w:r w:rsidRPr="00B72044">
              <w:rPr>
                <w:rFonts w:ascii="Arial" w:hAnsi="Arial" w:cs="Arial"/>
                <w:sz w:val="24"/>
                <w:szCs w:val="24"/>
              </w:rPr>
              <w:t>. Regulation 111 specifies the qualifications the independent advocate must hold</w:t>
            </w:r>
            <w:r>
              <w:rPr>
                <w:rFonts w:ascii="Arial" w:hAnsi="Arial" w:cs="Arial"/>
                <w:sz w:val="24"/>
                <w:szCs w:val="24"/>
              </w:rPr>
              <w:t xml:space="preserve"> (lawyer or provider of social services who holds a degree from an Australian university relevant to social services)</w:t>
            </w:r>
            <w:r w:rsidRPr="00B72044">
              <w:rPr>
                <w:rFonts w:ascii="Arial" w:hAnsi="Arial" w:cs="Arial"/>
                <w:sz w:val="24"/>
                <w:szCs w:val="24"/>
              </w:rPr>
              <w:t xml:space="preserve"> and who the advocate can employ or engage to assist them in their duties. </w:t>
            </w:r>
          </w:p>
          <w:p w14:paraId="5B856B3E" w14:textId="77777777" w:rsidR="001B77BE" w:rsidRPr="00B72044" w:rsidRDefault="001B77BE" w:rsidP="007512E9">
            <w:pPr>
              <w:widowControl w:val="0"/>
              <w:rPr>
                <w:rFonts w:ascii="Arial" w:hAnsi="Arial" w:cs="Arial"/>
                <w:sz w:val="24"/>
                <w:szCs w:val="24"/>
              </w:rPr>
            </w:pPr>
          </w:p>
          <w:p w14:paraId="28700BAE"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One of the functions of the independent advocate is to identify vulnerable owners as specified in Regulations 143-146, that is any natural person who has a diminished capacity to understand, cope with, or respond to the process. Examples include visual impairments that result in difficulty reading written information; frailty, poor health, or serious illness; </w:t>
            </w:r>
            <w:r>
              <w:rPr>
                <w:rFonts w:ascii="Arial" w:hAnsi="Arial" w:cs="Arial"/>
                <w:sz w:val="24"/>
                <w:szCs w:val="24"/>
              </w:rPr>
              <w:t>and</w:t>
            </w:r>
            <w:r w:rsidRPr="00B72044">
              <w:rPr>
                <w:rFonts w:ascii="Arial" w:hAnsi="Arial" w:cs="Arial"/>
                <w:sz w:val="24"/>
                <w:szCs w:val="24"/>
              </w:rPr>
              <w:t xml:space="preserve"> the presence of socioeconomic factors that impair access to professional advice. The purpose of identifying vulnerable owners is to ensure that they receive additional funding for ancillary services (that help put them in the same position as other owners in the scheme in considering and voting on the termination proposal). Vulnerable owners who vote against the termination resolution are also eligible for funding for representation in the State Administrative Tribunal and additional funding for ancillary services in connection with that representation.</w:t>
            </w:r>
          </w:p>
        </w:tc>
        <w:tc>
          <w:tcPr>
            <w:tcW w:w="8221" w:type="dxa"/>
          </w:tcPr>
          <w:p w14:paraId="6D7CEA1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w:t>
            </w:r>
            <w:r>
              <w:rPr>
                <w:rFonts w:ascii="Arial" w:hAnsi="Arial" w:cs="Arial"/>
                <w:sz w:val="24"/>
                <w:szCs w:val="24"/>
              </w:rPr>
              <w:t>strata company is still required to appoint</w:t>
            </w:r>
            <w:r w:rsidRPr="00B72044">
              <w:rPr>
                <w:rFonts w:ascii="Arial" w:hAnsi="Arial" w:cs="Arial"/>
                <w:sz w:val="24"/>
                <w:szCs w:val="24"/>
              </w:rPr>
              <w:t xml:space="preserve"> an independent </w:t>
            </w:r>
            <w:r>
              <w:rPr>
                <w:rFonts w:ascii="Arial" w:hAnsi="Arial" w:cs="Arial"/>
                <w:sz w:val="24"/>
                <w:szCs w:val="24"/>
              </w:rPr>
              <w:t>advocate.</w:t>
            </w:r>
            <w:r w:rsidRPr="00B72044">
              <w:rPr>
                <w:rFonts w:ascii="Arial" w:hAnsi="Arial" w:cs="Arial"/>
                <w:sz w:val="24"/>
                <w:szCs w:val="24"/>
              </w:rPr>
              <w:t xml:space="preserve"> Under Regulation 156, the strata company specifies the experience or qualifications the independent advocate must hold. </w:t>
            </w:r>
          </w:p>
          <w:p w14:paraId="6C2DC3C1" w14:textId="77777777" w:rsidR="001B77BE" w:rsidRPr="00B72044" w:rsidRDefault="001B77BE" w:rsidP="007512E9">
            <w:pPr>
              <w:widowControl w:val="0"/>
              <w:rPr>
                <w:rFonts w:ascii="Arial" w:hAnsi="Arial" w:cs="Arial"/>
                <w:sz w:val="24"/>
                <w:szCs w:val="24"/>
              </w:rPr>
            </w:pPr>
          </w:p>
          <w:p w14:paraId="32BBBAED" w14:textId="77777777" w:rsidR="001B77BE" w:rsidRPr="00B72044" w:rsidRDefault="001B77BE" w:rsidP="007512E9">
            <w:pPr>
              <w:widowControl w:val="0"/>
              <w:rPr>
                <w:rFonts w:ascii="Arial" w:hAnsi="Arial" w:cs="Arial"/>
                <w:sz w:val="24"/>
                <w:szCs w:val="24"/>
              </w:rPr>
            </w:pPr>
            <w:r>
              <w:rPr>
                <w:rFonts w:ascii="Arial" w:hAnsi="Arial" w:cs="Arial"/>
                <w:sz w:val="24"/>
                <w:szCs w:val="24"/>
              </w:rPr>
              <w:t>The independent advocate prepares an independent assessment of the full termination proposal and presents it to the strata company and other affected persons.</w:t>
            </w:r>
          </w:p>
          <w:p w14:paraId="66FEDAA8" w14:textId="77777777" w:rsidR="001B77BE" w:rsidRPr="00B72044" w:rsidRDefault="001B77BE" w:rsidP="007512E9">
            <w:pPr>
              <w:widowControl w:val="0"/>
              <w:rPr>
                <w:rFonts w:ascii="Arial" w:hAnsi="Arial" w:cs="Arial"/>
                <w:sz w:val="24"/>
                <w:szCs w:val="24"/>
              </w:rPr>
            </w:pPr>
          </w:p>
          <w:p w14:paraId="5A174096"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independent advocate is not required to identify vulnerable owners, as all owners are in agreement to terminate the scheme from the beginning of the termination process. The independent advocate’s </w:t>
            </w:r>
            <w:r>
              <w:rPr>
                <w:rFonts w:ascii="Arial" w:hAnsi="Arial" w:cs="Arial"/>
                <w:sz w:val="24"/>
                <w:szCs w:val="24"/>
              </w:rPr>
              <w:t>assessment</w:t>
            </w:r>
            <w:r w:rsidRPr="00B72044">
              <w:rPr>
                <w:rFonts w:ascii="Arial" w:hAnsi="Arial" w:cs="Arial"/>
                <w:sz w:val="24"/>
                <w:szCs w:val="24"/>
              </w:rPr>
              <w:t xml:space="preserve"> can be tailored appropriately (e.g. the report does not need to be provided in Braille) to reflect </w:t>
            </w:r>
            <w:r>
              <w:rPr>
                <w:rFonts w:ascii="Arial" w:hAnsi="Arial" w:cs="Arial"/>
                <w:sz w:val="24"/>
                <w:szCs w:val="24"/>
              </w:rPr>
              <w:t>these</w:t>
            </w:r>
            <w:r w:rsidRPr="00B72044">
              <w:rPr>
                <w:rFonts w:ascii="Arial" w:hAnsi="Arial" w:cs="Arial"/>
                <w:sz w:val="24"/>
                <w:szCs w:val="24"/>
              </w:rPr>
              <w:t xml:space="preserve"> circumstance</w:t>
            </w:r>
            <w:r>
              <w:rPr>
                <w:rFonts w:ascii="Arial" w:hAnsi="Arial" w:cs="Arial"/>
                <w:sz w:val="24"/>
                <w:szCs w:val="24"/>
              </w:rPr>
              <w:t>s</w:t>
            </w:r>
            <w:r w:rsidRPr="00B72044">
              <w:rPr>
                <w:rFonts w:ascii="Arial" w:hAnsi="Arial" w:cs="Arial"/>
                <w:sz w:val="24"/>
                <w:szCs w:val="24"/>
              </w:rPr>
              <w:t>.</w:t>
            </w:r>
          </w:p>
          <w:p w14:paraId="4915A75D" w14:textId="77777777" w:rsidR="001B77BE" w:rsidRPr="00B72044" w:rsidRDefault="001B77BE" w:rsidP="007512E9">
            <w:pPr>
              <w:widowControl w:val="0"/>
              <w:rPr>
                <w:rFonts w:ascii="Arial" w:hAnsi="Arial" w:cs="Arial"/>
                <w:sz w:val="24"/>
                <w:szCs w:val="24"/>
              </w:rPr>
            </w:pPr>
          </w:p>
        </w:tc>
      </w:tr>
      <w:tr w:rsidR="001B77BE" w:rsidRPr="00B72044" w14:paraId="3CD51BE4" w14:textId="77777777" w:rsidTr="00292F28">
        <w:trPr>
          <w:jc w:val="center"/>
        </w:trPr>
        <w:tc>
          <w:tcPr>
            <w:tcW w:w="2975" w:type="dxa"/>
          </w:tcPr>
          <w:p w14:paraId="6490D4D7"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Full termination proposal to incorporate a termination infrastructure report</w:t>
            </w:r>
          </w:p>
        </w:tc>
        <w:tc>
          <w:tcPr>
            <w:tcW w:w="1910" w:type="dxa"/>
          </w:tcPr>
          <w:p w14:paraId="23421CC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s179(2)</w:t>
            </w:r>
          </w:p>
          <w:p w14:paraId="3A564AD1" w14:textId="77777777" w:rsidR="001B77BE" w:rsidRPr="00B72044" w:rsidRDefault="001B77BE" w:rsidP="007512E9">
            <w:pPr>
              <w:widowControl w:val="0"/>
              <w:rPr>
                <w:rFonts w:ascii="Arial" w:hAnsi="Arial" w:cs="Arial"/>
                <w:sz w:val="24"/>
                <w:szCs w:val="24"/>
              </w:rPr>
            </w:pPr>
          </w:p>
        </w:tc>
        <w:tc>
          <w:tcPr>
            <w:tcW w:w="8435" w:type="dxa"/>
          </w:tcPr>
          <w:p w14:paraId="1B8115EF"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A termination infrastructure report comprises:</w:t>
            </w:r>
          </w:p>
          <w:p w14:paraId="42333BC7" w14:textId="77777777" w:rsidR="001B77BE" w:rsidRPr="00B72044" w:rsidRDefault="001B77BE" w:rsidP="007512E9">
            <w:pPr>
              <w:pStyle w:val="ListParagraph"/>
              <w:widowControl w:val="0"/>
              <w:numPr>
                <w:ilvl w:val="0"/>
                <w:numId w:val="6"/>
              </w:numPr>
              <w:rPr>
                <w:rFonts w:ascii="Arial" w:hAnsi="Arial" w:cs="Arial"/>
                <w:sz w:val="24"/>
                <w:szCs w:val="24"/>
              </w:rPr>
            </w:pPr>
            <w:r w:rsidRPr="00B72044">
              <w:rPr>
                <w:rFonts w:ascii="Arial" w:hAnsi="Arial" w:cs="Arial"/>
                <w:sz w:val="24"/>
                <w:szCs w:val="24"/>
              </w:rPr>
              <w:t xml:space="preserve">a report of a structural engineer on the state and condition of each scheme building and the infrastructure on common property, </w:t>
            </w:r>
          </w:p>
          <w:p w14:paraId="428925D9" w14:textId="77777777" w:rsidR="001B77BE" w:rsidRPr="00B72044" w:rsidRDefault="001B77BE" w:rsidP="007512E9">
            <w:pPr>
              <w:pStyle w:val="ListParagraph"/>
              <w:widowControl w:val="0"/>
              <w:numPr>
                <w:ilvl w:val="0"/>
                <w:numId w:val="6"/>
              </w:numPr>
              <w:rPr>
                <w:rFonts w:ascii="Arial" w:hAnsi="Arial" w:cs="Arial"/>
                <w:sz w:val="24"/>
                <w:szCs w:val="24"/>
              </w:rPr>
            </w:pPr>
            <w:r w:rsidRPr="00B72044">
              <w:rPr>
                <w:rFonts w:ascii="Arial" w:hAnsi="Arial" w:cs="Arial"/>
                <w:sz w:val="24"/>
                <w:szCs w:val="24"/>
              </w:rPr>
              <w:t xml:space="preserve">a report of a person of a class specified in the Regulations on the </w:t>
            </w:r>
            <w:r w:rsidRPr="00B72044">
              <w:rPr>
                <w:rFonts w:ascii="Arial" w:hAnsi="Arial" w:cs="Arial"/>
                <w:sz w:val="24"/>
                <w:szCs w:val="24"/>
              </w:rPr>
              <w:lastRenderedPageBreak/>
              <w:t xml:space="preserve">scope of works reasonably required to repair or replace scheme buildings or infrastructure, taking into account the report of the structural engineer and </w:t>
            </w:r>
          </w:p>
          <w:p w14:paraId="227DC688" w14:textId="77777777" w:rsidR="001B77BE" w:rsidRPr="00B72044" w:rsidRDefault="001B77BE" w:rsidP="007512E9">
            <w:pPr>
              <w:pStyle w:val="ListParagraph"/>
              <w:widowControl w:val="0"/>
              <w:numPr>
                <w:ilvl w:val="0"/>
                <w:numId w:val="6"/>
              </w:numPr>
              <w:rPr>
                <w:rFonts w:ascii="Arial" w:hAnsi="Arial" w:cs="Arial"/>
                <w:sz w:val="24"/>
                <w:szCs w:val="24"/>
              </w:rPr>
            </w:pPr>
            <w:r w:rsidRPr="00B72044">
              <w:rPr>
                <w:rFonts w:ascii="Arial" w:hAnsi="Arial" w:cs="Arial"/>
                <w:sz w:val="24"/>
                <w:szCs w:val="24"/>
              </w:rPr>
              <w:t xml:space="preserve">a report of a quantity surveyor estimating the cost of the works identified.  </w:t>
            </w:r>
          </w:p>
          <w:p w14:paraId="4E361AEF" w14:textId="77777777" w:rsidR="001B77BE" w:rsidRPr="00B72044" w:rsidRDefault="001B77BE" w:rsidP="007512E9">
            <w:pPr>
              <w:widowControl w:val="0"/>
              <w:rPr>
                <w:rFonts w:ascii="Arial" w:hAnsi="Arial" w:cs="Arial"/>
                <w:sz w:val="24"/>
                <w:szCs w:val="24"/>
              </w:rPr>
            </w:pPr>
          </w:p>
          <w:p w14:paraId="0CB42043" w14:textId="77777777" w:rsidR="001B77BE" w:rsidRPr="00B72044" w:rsidRDefault="001B77BE" w:rsidP="007512E9">
            <w:pPr>
              <w:widowControl w:val="0"/>
              <w:rPr>
                <w:rFonts w:ascii="Arial" w:hAnsi="Arial" w:cs="Arial"/>
                <w:i/>
                <w:iCs/>
                <w:sz w:val="24"/>
                <w:szCs w:val="24"/>
              </w:rPr>
            </w:pPr>
            <w:r w:rsidRPr="00B72044">
              <w:rPr>
                <w:rFonts w:ascii="Arial" w:hAnsi="Arial" w:cs="Arial"/>
                <w:sz w:val="24"/>
                <w:szCs w:val="24"/>
              </w:rPr>
              <w:t>Regulation 116 specifies that the person providing the report on the scope of works must be registered as a building service contractor under s11 of the</w:t>
            </w:r>
            <w:r w:rsidRPr="00B72044">
              <w:rPr>
                <w:rFonts w:ascii="Arial" w:hAnsi="Arial" w:cs="Arial"/>
                <w:i/>
                <w:iCs/>
                <w:sz w:val="24"/>
                <w:szCs w:val="24"/>
              </w:rPr>
              <w:t xml:space="preserve"> Building Services (Registration) Act 2011. </w:t>
            </w:r>
          </w:p>
          <w:p w14:paraId="75467138" w14:textId="77777777" w:rsidR="001B77BE" w:rsidRPr="00B72044" w:rsidRDefault="001B77BE" w:rsidP="007512E9">
            <w:pPr>
              <w:widowControl w:val="0"/>
              <w:rPr>
                <w:rFonts w:ascii="Arial" w:hAnsi="Arial" w:cs="Arial"/>
                <w:sz w:val="24"/>
                <w:szCs w:val="24"/>
              </w:rPr>
            </w:pPr>
          </w:p>
          <w:p w14:paraId="2A726B1B" w14:textId="77777777" w:rsidR="001B77BE" w:rsidRPr="00B72044" w:rsidRDefault="001B77BE" w:rsidP="007512E9">
            <w:pPr>
              <w:widowControl w:val="0"/>
              <w:rPr>
                <w:rFonts w:ascii="Arial" w:hAnsi="Arial" w:cs="Arial"/>
                <w:sz w:val="24"/>
                <w:szCs w:val="24"/>
              </w:rPr>
            </w:pPr>
          </w:p>
          <w:p w14:paraId="0283A4BB" w14:textId="77777777" w:rsidR="001B77BE" w:rsidRPr="00B72044" w:rsidRDefault="001B77BE" w:rsidP="007512E9">
            <w:pPr>
              <w:widowControl w:val="0"/>
              <w:rPr>
                <w:rFonts w:ascii="Arial" w:hAnsi="Arial" w:cs="Arial"/>
                <w:sz w:val="24"/>
                <w:szCs w:val="24"/>
              </w:rPr>
            </w:pPr>
          </w:p>
          <w:p w14:paraId="0F535D13" w14:textId="77777777" w:rsidR="001B77BE" w:rsidRPr="00B72044" w:rsidRDefault="001B77BE" w:rsidP="007512E9">
            <w:pPr>
              <w:widowControl w:val="0"/>
              <w:rPr>
                <w:rFonts w:ascii="Arial" w:hAnsi="Arial" w:cs="Arial"/>
                <w:sz w:val="24"/>
                <w:szCs w:val="24"/>
              </w:rPr>
            </w:pPr>
          </w:p>
          <w:p w14:paraId="0C264BCB" w14:textId="77777777" w:rsidR="001B77BE" w:rsidRPr="00B72044" w:rsidRDefault="001B77BE" w:rsidP="007512E9">
            <w:pPr>
              <w:widowControl w:val="0"/>
              <w:rPr>
                <w:rFonts w:ascii="Arial" w:hAnsi="Arial" w:cs="Arial"/>
                <w:sz w:val="24"/>
                <w:szCs w:val="24"/>
              </w:rPr>
            </w:pPr>
          </w:p>
          <w:p w14:paraId="34366378" w14:textId="77777777" w:rsidR="001B77BE" w:rsidRPr="00B72044" w:rsidRDefault="001B77BE" w:rsidP="007512E9">
            <w:pPr>
              <w:widowControl w:val="0"/>
              <w:rPr>
                <w:rFonts w:ascii="Arial" w:hAnsi="Arial" w:cs="Arial"/>
                <w:sz w:val="24"/>
                <w:szCs w:val="24"/>
              </w:rPr>
            </w:pPr>
          </w:p>
          <w:p w14:paraId="2592B95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Regulation 119 further specifies that the person who prepares or certifies the termination infrastructure report must not be the proponent or an associate of the proponent. </w:t>
            </w:r>
          </w:p>
        </w:tc>
        <w:tc>
          <w:tcPr>
            <w:tcW w:w="8221" w:type="dxa"/>
          </w:tcPr>
          <w:p w14:paraId="08DC90FA"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lastRenderedPageBreak/>
              <w:t xml:space="preserve">A termination infrastructure report comprises the same three reports but under Regulation 158 the report on the scope of works can be from a person the strata company approves or class of persons the strata company approves. This provides some flexibility for the strata company in </w:t>
            </w:r>
            <w:r w:rsidRPr="00B72044">
              <w:rPr>
                <w:rFonts w:ascii="Arial" w:hAnsi="Arial" w:cs="Arial"/>
                <w:sz w:val="24"/>
                <w:szCs w:val="24"/>
              </w:rPr>
              <w:lastRenderedPageBreak/>
              <w:t xml:space="preserve">a unanimous owner-initiated termination process to obtain a tailored report on the scope of works from a person of their choosing.  </w:t>
            </w:r>
          </w:p>
          <w:p w14:paraId="10B288E9" w14:textId="77777777" w:rsidR="001B77BE" w:rsidRPr="00B72044" w:rsidRDefault="001B77BE" w:rsidP="007512E9">
            <w:pPr>
              <w:widowControl w:val="0"/>
              <w:rPr>
                <w:rFonts w:ascii="Arial" w:hAnsi="Arial" w:cs="Arial"/>
                <w:sz w:val="24"/>
                <w:szCs w:val="24"/>
              </w:rPr>
            </w:pPr>
          </w:p>
          <w:p w14:paraId="2C3B0E10" w14:textId="77777777" w:rsidR="001B77BE" w:rsidRPr="00B72044" w:rsidRDefault="001B77BE" w:rsidP="007512E9">
            <w:pPr>
              <w:widowControl w:val="0"/>
              <w:rPr>
                <w:rFonts w:ascii="Arial" w:hAnsi="Arial" w:cs="Arial"/>
                <w:sz w:val="24"/>
                <w:szCs w:val="24"/>
              </w:rPr>
            </w:pPr>
          </w:p>
          <w:p w14:paraId="70975739" w14:textId="77777777" w:rsidR="001B77BE" w:rsidRPr="00B72044" w:rsidRDefault="001B77BE" w:rsidP="007512E9">
            <w:pPr>
              <w:widowControl w:val="0"/>
              <w:rPr>
                <w:rFonts w:ascii="Arial" w:hAnsi="Arial" w:cs="Arial"/>
                <w:sz w:val="24"/>
                <w:szCs w:val="24"/>
              </w:rPr>
            </w:pPr>
          </w:p>
          <w:p w14:paraId="78FA169F" w14:textId="77777777" w:rsidR="001B77BE" w:rsidRPr="00B72044" w:rsidRDefault="001B77BE" w:rsidP="007512E9">
            <w:pPr>
              <w:widowControl w:val="0"/>
              <w:rPr>
                <w:rFonts w:ascii="Arial" w:hAnsi="Arial" w:cs="Arial"/>
                <w:sz w:val="24"/>
                <w:szCs w:val="24"/>
              </w:rPr>
            </w:pPr>
          </w:p>
          <w:p w14:paraId="2D42C7C6" w14:textId="77777777" w:rsidR="001B77BE" w:rsidRPr="00B72044" w:rsidRDefault="001B77BE" w:rsidP="007512E9">
            <w:pPr>
              <w:widowControl w:val="0"/>
              <w:rPr>
                <w:rFonts w:ascii="Arial" w:hAnsi="Arial" w:cs="Arial"/>
                <w:sz w:val="24"/>
                <w:szCs w:val="24"/>
              </w:rPr>
            </w:pPr>
          </w:p>
          <w:p w14:paraId="75F6D410" w14:textId="77777777" w:rsidR="001B77BE" w:rsidRPr="00B72044" w:rsidRDefault="001B77BE" w:rsidP="007512E9">
            <w:pPr>
              <w:widowControl w:val="0"/>
              <w:rPr>
                <w:rFonts w:ascii="Arial" w:hAnsi="Arial" w:cs="Arial"/>
                <w:sz w:val="24"/>
                <w:szCs w:val="24"/>
              </w:rPr>
            </w:pPr>
          </w:p>
          <w:p w14:paraId="1932618D"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Under Regulation 119, the person who prepares or certifies the termination infrastructure report must not be the proponent or an associate of the proponent.</w:t>
            </w:r>
          </w:p>
        </w:tc>
      </w:tr>
      <w:tr w:rsidR="001B77BE" w:rsidRPr="00B72044" w14:paraId="0031B86F" w14:textId="77777777" w:rsidTr="00292F28">
        <w:trPr>
          <w:jc w:val="center"/>
        </w:trPr>
        <w:tc>
          <w:tcPr>
            <w:tcW w:w="2975" w:type="dxa"/>
          </w:tcPr>
          <w:p w14:paraId="569BC01C"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lastRenderedPageBreak/>
              <w:t>Full termination proposal to incorporate a termination valuation report</w:t>
            </w:r>
          </w:p>
        </w:tc>
        <w:tc>
          <w:tcPr>
            <w:tcW w:w="1910" w:type="dxa"/>
          </w:tcPr>
          <w:p w14:paraId="3025DA8C"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s179(3)(4)(5)(6)</w:t>
            </w:r>
          </w:p>
        </w:tc>
        <w:tc>
          <w:tcPr>
            <w:tcW w:w="8435" w:type="dxa"/>
          </w:tcPr>
          <w:p w14:paraId="373E07AC"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Section 179(3) of the Act provides that a full termination proposal must incorporate a termination valuation report prepared and certified by a licensed valuer setting out a market valuation for each lot in the scheme. Section 179(4) provides that the regulations must prescribe matters relating to the determination of market value of a lot, including a valuation methodology that takes account of –</w:t>
            </w:r>
          </w:p>
          <w:p w14:paraId="61B93104" w14:textId="77777777" w:rsidR="001B77BE" w:rsidRPr="00B72044" w:rsidRDefault="001B77BE" w:rsidP="007512E9">
            <w:pPr>
              <w:pStyle w:val="ListParagraph"/>
              <w:widowControl w:val="0"/>
              <w:numPr>
                <w:ilvl w:val="0"/>
                <w:numId w:val="7"/>
              </w:numPr>
              <w:rPr>
                <w:rFonts w:ascii="Arial" w:hAnsi="Arial" w:cs="Arial"/>
                <w:sz w:val="24"/>
                <w:szCs w:val="24"/>
              </w:rPr>
            </w:pPr>
            <w:r w:rsidRPr="00B72044">
              <w:rPr>
                <w:rFonts w:ascii="Arial" w:hAnsi="Arial" w:cs="Arial"/>
                <w:sz w:val="24"/>
                <w:szCs w:val="24"/>
              </w:rPr>
              <w:t>relevant recent sales history; and</w:t>
            </w:r>
          </w:p>
          <w:p w14:paraId="189A5700" w14:textId="77777777" w:rsidR="001B77BE" w:rsidRPr="00B72044" w:rsidRDefault="001B77BE" w:rsidP="007512E9">
            <w:pPr>
              <w:pStyle w:val="ListParagraph"/>
              <w:widowControl w:val="0"/>
              <w:numPr>
                <w:ilvl w:val="0"/>
                <w:numId w:val="7"/>
              </w:numPr>
              <w:rPr>
                <w:rFonts w:ascii="Arial" w:hAnsi="Arial" w:cs="Arial"/>
                <w:sz w:val="24"/>
                <w:szCs w:val="24"/>
              </w:rPr>
            </w:pPr>
            <w:r w:rsidRPr="00B72044">
              <w:rPr>
                <w:rFonts w:ascii="Arial" w:hAnsi="Arial" w:cs="Arial"/>
                <w:sz w:val="24"/>
                <w:szCs w:val="24"/>
              </w:rPr>
              <w:t>the highest and best use of the lot; and</w:t>
            </w:r>
          </w:p>
          <w:p w14:paraId="740847BB" w14:textId="77777777" w:rsidR="001B77BE" w:rsidRPr="00B72044" w:rsidRDefault="001B77BE" w:rsidP="007512E9">
            <w:pPr>
              <w:pStyle w:val="ListParagraph"/>
              <w:widowControl w:val="0"/>
              <w:numPr>
                <w:ilvl w:val="0"/>
                <w:numId w:val="7"/>
              </w:numPr>
              <w:rPr>
                <w:rFonts w:ascii="Arial" w:hAnsi="Arial" w:cs="Arial"/>
                <w:sz w:val="24"/>
                <w:szCs w:val="24"/>
              </w:rPr>
            </w:pPr>
            <w:r w:rsidRPr="00B72044">
              <w:rPr>
                <w:rFonts w:ascii="Arial" w:hAnsi="Arial" w:cs="Arial"/>
                <w:sz w:val="24"/>
                <w:szCs w:val="24"/>
              </w:rPr>
              <w:t>the value attributable to the owner’s interest in the common property in the scheme.</w:t>
            </w:r>
          </w:p>
          <w:p w14:paraId="7CB4BBA1" w14:textId="77777777" w:rsidR="001B77BE" w:rsidRPr="00B72044" w:rsidRDefault="001B77BE" w:rsidP="007512E9">
            <w:pPr>
              <w:widowControl w:val="0"/>
              <w:ind w:left="360"/>
              <w:rPr>
                <w:rFonts w:ascii="Arial" w:hAnsi="Arial" w:cs="Arial"/>
                <w:sz w:val="24"/>
                <w:szCs w:val="24"/>
              </w:rPr>
            </w:pPr>
          </w:p>
          <w:p w14:paraId="3C8F0281"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Regulation 117 specifies that a sales comparison valuation methodology be applied. </w:t>
            </w:r>
          </w:p>
          <w:p w14:paraId="555FE1CF" w14:textId="77777777" w:rsidR="001B77BE" w:rsidRPr="00B72044" w:rsidRDefault="001B77BE" w:rsidP="007512E9">
            <w:pPr>
              <w:widowControl w:val="0"/>
              <w:ind w:left="360"/>
              <w:rPr>
                <w:rFonts w:ascii="Arial" w:hAnsi="Arial" w:cs="Arial"/>
                <w:sz w:val="24"/>
                <w:szCs w:val="24"/>
              </w:rPr>
            </w:pPr>
          </w:p>
          <w:p w14:paraId="5A669EF6"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Regulation 118 specifies that the termination valuation report must be current as at a date that is not more than 3 months before the submission of the full proposal to the strata company.</w:t>
            </w:r>
          </w:p>
          <w:p w14:paraId="2DED1843" w14:textId="77777777" w:rsidR="001B77BE" w:rsidRPr="00B72044" w:rsidRDefault="001B77BE" w:rsidP="007512E9">
            <w:pPr>
              <w:widowControl w:val="0"/>
              <w:rPr>
                <w:rFonts w:ascii="Arial" w:hAnsi="Arial" w:cs="Arial"/>
                <w:sz w:val="24"/>
                <w:szCs w:val="24"/>
              </w:rPr>
            </w:pPr>
          </w:p>
          <w:p w14:paraId="7BC89475"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Regulation 119 further specifies that the person who prepares or certifies the termination valuation report must not be the proponent or an associate of the proponent.</w:t>
            </w:r>
          </w:p>
          <w:p w14:paraId="58F44FB4" w14:textId="77777777" w:rsidR="001B77BE" w:rsidRPr="00B72044" w:rsidRDefault="001B77BE" w:rsidP="007512E9">
            <w:pPr>
              <w:widowControl w:val="0"/>
              <w:rPr>
                <w:rFonts w:ascii="Arial" w:hAnsi="Arial" w:cs="Arial"/>
                <w:sz w:val="24"/>
                <w:szCs w:val="24"/>
              </w:rPr>
            </w:pPr>
          </w:p>
          <w:p w14:paraId="2FA28854" w14:textId="77777777" w:rsidR="001B77BE" w:rsidRPr="00B72044" w:rsidRDefault="001B77BE" w:rsidP="007512E9">
            <w:pPr>
              <w:widowControl w:val="0"/>
              <w:rPr>
                <w:rFonts w:ascii="Arial" w:hAnsi="Arial" w:cs="Arial"/>
                <w:sz w:val="24"/>
                <w:szCs w:val="24"/>
              </w:rPr>
            </w:pPr>
          </w:p>
        </w:tc>
        <w:tc>
          <w:tcPr>
            <w:tcW w:w="8221" w:type="dxa"/>
          </w:tcPr>
          <w:p w14:paraId="0954D37D" w14:textId="77777777" w:rsidR="001B77BE" w:rsidRPr="00B72044" w:rsidRDefault="001B77BE" w:rsidP="007512E9">
            <w:pPr>
              <w:widowControl w:val="0"/>
              <w:rPr>
                <w:rFonts w:ascii="Arial" w:hAnsi="Arial" w:cs="Arial"/>
                <w:sz w:val="24"/>
                <w:szCs w:val="24"/>
              </w:rPr>
            </w:pPr>
          </w:p>
          <w:p w14:paraId="1642152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provisions concerning the termination valuation report apply in the unanimous owner-initiated termination proposal process.</w:t>
            </w:r>
          </w:p>
        </w:tc>
      </w:tr>
      <w:tr w:rsidR="001B77BE" w:rsidRPr="00B72044" w14:paraId="34FFE769" w14:textId="77777777" w:rsidTr="00292F28">
        <w:trPr>
          <w:jc w:val="center"/>
        </w:trPr>
        <w:tc>
          <w:tcPr>
            <w:tcW w:w="2975" w:type="dxa"/>
          </w:tcPr>
          <w:p w14:paraId="0E7D3033" w14:textId="77777777" w:rsidR="001B77BE" w:rsidRPr="00B72044" w:rsidRDefault="001B77BE" w:rsidP="007512E9">
            <w:pPr>
              <w:widowControl w:val="0"/>
              <w:rPr>
                <w:rFonts w:ascii="Arial" w:hAnsi="Arial" w:cs="Arial"/>
                <w:sz w:val="24"/>
                <w:szCs w:val="24"/>
              </w:rPr>
            </w:pPr>
            <w:r>
              <w:rPr>
                <w:rFonts w:ascii="Arial" w:hAnsi="Arial" w:cs="Arial"/>
                <w:sz w:val="24"/>
                <w:szCs w:val="24"/>
              </w:rPr>
              <w:lastRenderedPageBreak/>
              <w:t>Arrangements for owners for</w:t>
            </w:r>
            <w:r w:rsidRPr="00B72044">
              <w:rPr>
                <w:rFonts w:ascii="Arial" w:hAnsi="Arial" w:cs="Arial"/>
                <w:sz w:val="24"/>
                <w:szCs w:val="24"/>
              </w:rPr>
              <w:t xml:space="preserve"> independent advice or representation </w:t>
            </w:r>
          </w:p>
        </w:tc>
        <w:tc>
          <w:tcPr>
            <w:tcW w:w="1910" w:type="dxa"/>
          </w:tcPr>
          <w:p w14:paraId="73AEDF01"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s190</w:t>
            </w:r>
          </w:p>
          <w:p w14:paraId="16AE26B4" w14:textId="77777777" w:rsidR="001B77BE" w:rsidRPr="00B72044" w:rsidRDefault="001B77BE" w:rsidP="007512E9">
            <w:pPr>
              <w:widowControl w:val="0"/>
              <w:rPr>
                <w:rFonts w:ascii="Arial" w:hAnsi="Arial" w:cs="Arial"/>
                <w:sz w:val="24"/>
                <w:szCs w:val="24"/>
              </w:rPr>
            </w:pPr>
          </w:p>
          <w:p w14:paraId="320F7E50" w14:textId="77777777" w:rsidR="001B77BE" w:rsidRPr="00B72044" w:rsidRDefault="001B77BE" w:rsidP="007512E9">
            <w:pPr>
              <w:widowControl w:val="0"/>
              <w:rPr>
                <w:rFonts w:ascii="Arial" w:hAnsi="Arial" w:cs="Arial"/>
                <w:sz w:val="24"/>
                <w:szCs w:val="24"/>
              </w:rPr>
            </w:pPr>
          </w:p>
        </w:tc>
        <w:tc>
          <w:tcPr>
            <w:tcW w:w="8435" w:type="dxa"/>
          </w:tcPr>
          <w:p w14:paraId="176DA260"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Prior to submission of the full </w:t>
            </w:r>
            <w:r>
              <w:rPr>
                <w:rFonts w:ascii="Arial" w:hAnsi="Arial" w:cs="Arial"/>
                <w:sz w:val="24"/>
                <w:szCs w:val="24"/>
              </w:rPr>
              <w:t xml:space="preserve">termination </w:t>
            </w:r>
            <w:r w:rsidRPr="00B72044">
              <w:rPr>
                <w:rFonts w:ascii="Arial" w:hAnsi="Arial" w:cs="Arial"/>
                <w:sz w:val="24"/>
                <w:szCs w:val="24"/>
              </w:rPr>
              <w:t xml:space="preserve">proposal </w:t>
            </w:r>
            <w:r>
              <w:rPr>
                <w:rFonts w:ascii="Arial" w:hAnsi="Arial" w:cs="Arial"/>
                <w:sz w:val="24"/>
                <w:szCs w:val="24"/>
              </w:rPr>
              <w:t xml:space="preserve">to the strata company </w:t>
            </w:r>
            <w:r w:rsidRPr="00B72044">
              <w:rPr>
                <w:rFonts w:ascii="Arial" w:hAnsi="Arial" w:cs="Arial"/>
                <w:sz w:val="24"/>
                <w:szCs w:val="24"/>
              </w:rPr>
              <w:t xml:space="preserve">no funding is made available to lot owners. </w:t>
            </w:r>
          </w:p>
          <w:p w14:paraId="63FAF226" w14:textId="77777777" w:rsidR="001B77BE" w:rsidRPr="00B72044" w:rsidRDefault="001B77BE" w:rsidP="007512E9">
            <w:pPr>
              <w:widowControl w:val="0"/>
              <w:rPr>
                <w:rFonts w:ascii="Arial" w:hAnsi="Arial" w:cs="Arial"/>
                <w:sz w:val="24"/>
                <w:szCs w:val="24"/>
              </w:rPr>
            </w:pPr>
          </w:p>
          <w:p w14:paraId="2D287B4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Outline termination proposal must include information on the arrangements for establishing the trust fund for advisory and representation services in connection with a full termination proposal and amounts available to owners and vulnerable owners.</w:t>
            </w:r>
          </w:p>
          <w:p w14:paraId="050DA2EB" w14:textId="77777777" w:rsidR="001B77BE" w:rsidRPr="00B72044" w:rsidRDefault="001B77BE" w:rsidP="007512E9">
            <w:pPr>
              <w:widowControl w:val="0"/>
              <w:rPr>
                <w:rFonts w:ascii="Arial" w:hAnsi="Arial" w:cs="Arial"/>
                <w:sz w:val="24"/>
                <w:szCs w:val="24"/>
              </w:rPr>
            </w:pPr>
          </w:p>
          <w:p w14:paraId="772FC23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Before submitting the full proposal to the strata company, the proponent must pay an amount to a trustee to be held in trust for owners to obtain independent legal advice, valuation advice or reports or financial or taxation advice in connection with the proposal. All owners have access to the same guaranteed funding prior to the vote. Vulnerable owners can receive more funding for ancillary services. Following the vote, if the proponent can proceed to have the termination resolution confirmed by SAT, dissenting owners can access additional guaranteed funding. Funding arrangements are prescribed in Regulation 135 and Regulation 136.</w:t>
            </w:r>
          </w:p>
          <w:p w14:paraId="7E3AEF07" w14:textId="77777777" w:rsidR="001B77BE" w:rsidRPr="00B72044" w:rsidRDefault="001B77BE" w:rsidP="007512E9">
            <w:pPr>
              <w:widowControl w:val="0"/>
              <w:rPr>
                <w:rFonts w:ascii="Arial" w:hAnsi="Arial" w:cs="Arial"/>
                <w:sz w:val="24"/>
                <w:szCs w:val="24"/>
              </w:rPr>
            </w:pPr>
          </w:p>
          <w:p w14:paraId="35F0D628"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guaranteed funding at each stage is:</w:t>
            </w:r>
          </w:p>
          <w:p w14:paraId="735484AF"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$1500 for all advisory services obtained during the full proposal stage</w:t>
            </w:r>
          </w:p>
          <w:p w14:paraId="0C732AB5"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$5000 for all representation services during the SAT confirmation stage</w:t>
            </w:r>
          </w:p>
          <w:p w14:paraId="393A226B" w14:textId="77777777" w:rsidR="001B77BE" w:rsidRPr="00B72044" w:rsidRDefault="001B77BE" w:rsidP="007512E9">
            <w:pPr>
              <w:widowControl w:val="0"/>
              <w:rPr>
                <w:rFonts w:ascii="Arial" w:hAnsi="Arial" w:cs="Arial"/>
                <w:sz w:val="24"/>
                <w:szCs w:val="24"/>
              </w:rPr>
            </w:pPr>
          </w:p>
          <w:p w14:paraId="0647335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Vulnerable owners have access to higher amounts of guaranteed funding as follows:</w:t>
            </w:r>
          </w:p>
          <w:p w14:paraId="748993F4"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$3000 for all advisory and ancillary services during the full proposal stage</w:t>
            </w:r>
          </w:p>
          <w:p w14:paraId="5CFDE170"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$9000 for all representation and ancillary services during the SAT confirmation stage</w:t>
            </w:r>
          </w:p>
          <w:p w14:paraId="12BE71D0" w14:textId="77777777" w:rsidR="001B77BE" w:rsidRPr="00B72044" w:rsidRDefault="001B77BE" w:rsidP="007512E9">
            <w:pPr>
              <w:widowControl w:val="0"/>
              <w:rPr>
                <w:rFonts w:ascii="Arial" w:hAnsi="Arial" w:cs="Arial"/>
                <w:sz w:val="24"/>
                <w:szCs w:val="24"/>
              </w:rPr>
            </w:pPr>
          </w:p>
          <w:p w14:paraId="2F20F02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If there is more than one vulnerable owner of a lot, the funding increases for each vulnerable owner as follows:</w:t>
            </w:r>
          </w:p>
          <w:p w14:paraId="1DAA2632"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$1000 for advisory and ancillary services during the full proposal stage</w:t>
            </w:r>
          </w:p>
          <w:p w14:paraId="238802B7"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$2000 for representation and ancillary services during the SAT confirmation stage</w:t>
            </w:r>
          </w:p>
          <w:p w14:paraId="33DCE2F3" w14:textId="77777777" w:rsidR="001B77BE" w:rsidRPr="00B72044" w:rsidRDefault="001B77BE" w:rsidP="007512E9">
            <w:pPr>
              <w:widowControl w:val="0"/>
              <w:rPr>
                <w:rFonts w:ascii="Arial" w:hAnsi="Arial" w:cs="Arial"/>
                <w:sz w:val="24"/>
                <w:szCs w:val="24"/>
              </w:rPr>
            </w:pPr>
          </w:p>
          <w:p w14:paraId="3BFB4E28"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A full termination proposal must include the material required in the Outline termination proposal. It must also contain the name and contact details of the trustee of the trust fund if that information was not included in the Outline termination proposal or the details have changed since the Outline proposal.</w:t>
            </w:r>
          </w:p>
        </w:tc>
        <w:tc>
          <w:tcPr>
            <w:tcW w:w="8221" w:type="dxa"/>
          </w:tcPr>
          <w:p w14:paraId="32F2321E" w14:textId="77777777" w:rsidR="001B77BE" w:rsidRPr="00B72044" w:rsidRDefault="001B77BE" w:rsidP="00292F28">
            <w:pPr>
              <w:keepNext/>
              <w:keepLines/>
              <w:widowControl w:val="0"/>
              <w:rPr>
                <w:rFonts w:ascii="Arial" w:hAnsi="Arial" w:cs="Arial"/>
                <w:sz w:val="24"/>
                <w:szCs w:val="24"/>
              </w:rPr>
            </w:pPr>
            <w:r w:rsidRPr="00B72044">
              <w:rPr>
                <w:rFonts w:ascii="Arial" w:hAnsi="Arial" w:cs="Arial"/>
                <w:sz w:val="24"/>
                <w:szCs w:val="24"/>
              </w:rPr>
              <w:t xml:space="preserve">Prior to submission of the full </w:t>
            </w:r>
            <w:r>
              <w:rPr>
                <w:rFonts w:ascii="Arial" w:hAnsi="Arial" w:cs="Arial"/>
                <w:sz w:val="24"/>
                <w:szCs w:val="24"/>
              </w:rPr>
              <w:t xml:space="preserve">termination </w:t>
            </w:r>
            <w:r w:rsidRPr="00B72044">
              <w:rPr>
                <w:rFonts w:ascii="Arial" w:hAnsi="Arial" w:cs="Arial"/>
                <w:sz w:val="24"/>
                <w:szCs w:val="24"/>
              </w:rPr>
              <w:t xml:space="preserve">proposal </w:t>
            </w:r>
            <w:r>
              <w:rPr>
                <w:rFonts w:ascii="Arial" w:hAnsi="Arial" w:cs="Arial"/>
                <w:sz w:val="24"/>
                <w:szCs w:val="24"/>
              </w:rPr>
              <w:t xml:space="preserve">to the strata company </w:t>
            </w:r>
            <w:r w:rsidRPr="00B72044">
              <w:rPr>
                <w:rFonts w:ascii="Arial" w:hAnsi="Arial" w:cs="Arial"/>
                <w:sz w:val="24"/>
                <w:szCs w:val="24"/>
              </w:rPr>
              <w:t>no funding is made available to lot owners.</w:t>
            </w:r>
          </w:p>
          <w:p w14:paraId="10797DB8" w14:textId="77777777" w:rsidR="001B77BE" w:rsidRPr="00B72044" w:rsidRDefault="001B77BE" w:rsidP="007512E9">
            <w:pPr>
              <w:widowControl w:val="0"/>
              <w:rPr>
                <w:rFonts w:ascii="Arial" w:hAnsi="Arial" w:cs="Arial"/>
                <w:sz w:val="24"/>
                <w:szCs w:val="24"/>
              </w:rPr>
            </w:pPr>
          </w:p>
          <w:p w14:paraId="1FD8C700"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Outline termination proposal has to specify that:</w:t>
            </w:r>
          </w:p>
          <w:p w14:paraId="5A570598" w14:textId="77777777" w:rsidR="001B77BE" w:rsidRPr="00B72044" w:rsidRDefault="001B77BE" w:rsidP="007512E9">
            <w:pPr>
              <w:pStyle w:val="ListParagraph"/>
              <w:widowControl w:val="0"/>
              <w:numPr>
                <w:ilvl w:val="0"/>
                <w:numId w:val="8"/>
              </w:numPr>
              <w:rPr>
                <w:rFonts w:ascii="Arial" w:hAnsi="Arial" w:cs="Arial"/>
                <w:sz w:val="24"/>
                <w:szCs w:val="24"/>
              </w:rPr>
            </w:pPr>
            <w:r w:rsidRPr="00B72044">
              <w:rPr>
                <w:rFonts w:ascii="Arial" w:hAnsi="Arial" w:cs="Arial"/>
                <w:sz w:val="24"/>
                <w:szCs w:val="24"/>
              </w:rPr>
              <w:t xml:space="preserve">an owner of a lot is entitled, at any time before voting on the full proposal, to notify the strata company that the owner wishes to access funding from the proponent to obtain independent advice or representation on connection with the proposal. </w:t>
            </w:r>
          </w:p>
          <w:p w14:paraId="577E73B5" w14:textId="77777777" w:rsidR="001B77BE" w:rsidRPr="00B72044" w:rsidRDefault="001B77BE" w:rsidP="007512E9">
            <w:pPr>
              <w:pStyle w:val="ListParagraph"/>
              <w:widowControl w:val="0"/>
              <w:numPr>
                <w:ilvl w:val="0"/>
                <w:numId w:val="8"/>
              </w:numPr>
              <w:rPr>
                <w:rFonts w:ascii="Arial" w:hAnsi="Arial" w:cs="Arial"/>
                <w:sz w:val="24"/>
                <w:szCs w:val="24"/>
              </w:rPr>
            </w:pPr>
            <w:r w:rsidRPr="00B72044">
              <w:rPr>
                <w:rFonts w:ascii="Arial" w:hAnsi="Arial" w:cs="Arial"/>
                <w:sz w:val="24"/>
                <w:szCs w:val="24"/>
              </w:rPr>
              <w:t>the owner of a lot is entitled to notify the strata company or the independent advocate, at any time before the vote on the full proposal, that the owner wishes to be identified as a vulnerable person.</w:t>
            </w:r>
          </w:p>
          <w:p w14:paraId="2929B847" w14:textId="77777777" w:rsidR="001B77BE" w:rsidRPr="00B72044" w:rsidRDefault="001B77BE" w:rsidP="007512E9">
            <w:pPr>
              <w:pStyle w:val="ListParagraph"/>
              <w:widowControl w:val="0"/>
              <w:numPr>
                <w:ilvl w:val="0"/>
                <w:numId w:val="8"/>
              </w:numPr>
              <w:rPr>
                <w:rFonts w:ascii="Arial" w:hAnsi="Arial" w:cs="Arial"/>
                <w:sz w:val="24"/>
                <w:szCs w:val="24"/>
              </w:rPr>
            </w:pPr>
            <w:r w:rsidRPr="00B72044">
              <w:rPr>
                <w:rFonts w:ascii="Arial" w:hAnsi="Arial" w:cs="Arial"/>
                <w:sz w:val="24"/>
                <w:szCs w:val="24"/>
              </w:rPr>
              <w:t xml:space="preserve"> if an owner notifies the strata company or independent advocate that the owner wishes to access funding arrangements the proponent must withdraw the termination proposal, and if the proponent wishes to proceed further, submit a new Outline termination proposal that will include arrangements for a fund to be established that will enable owners to access funding to obtain advisory and representation services in connection with the proposal.</w:t>
            </w:r>
          </w:p>
          <w:p w14:paraId="408F473F" w14:textId="77777777" w:rsidR="001B77BE" w:rsidRPr="00B72044" w:rsidRDefault="001B77BE" w:rsidP="007512E9">
            <w:pPr>
              <w:widowControl w:val="0"/>
              <w:rPr>
                <w:rFonts w:ascii="Arial" w:hAnsi="Arial" w:cs="Arial"/>
                <w:sz w:val="24"/>
                <w:szCs w:val="24"/>
              </w:rPr>
            </w:pPr>
          </w:p>
          <w:p w14:paraId="53AD125A"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proponent is not required to pay an amount to the trustee as detailed opposite. This enables owners to avoid the cost of establishing the fund because it has been established prior to commencing the process that the owners are clearly agreed on their preferred actions. </w:t>
            </w:r>
          </w:p>
          <w:p w14:paraId="31A5F810" w14:textId="77777777" w:rsidR="001B77BE" w:rsidRPr="00B72044" w:rsidRDefault="001B77BE" w:rsidP="007512E9">
            <w:pPr>
              <w:widowControl w:val="0"/>
              <w:rPr>
                <w:rFonts w:ascii="Arial" w:hAnsi="Arial" w:cs="Arial"/>
                <w:sz w:val="24"/>
                <w:szCs w:val="24"/>
              </w:rPr>
            </w:pPr>
          </w:p>
          <w:p w14:paraId="472A50D5"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full termination proposal for a unanimous owner-initiated termination proposal must include the information included in the Outline. It cannot be submitted to the strata company as a unanimous owner-initiated termination proposal unless the outline was submitted as a unanimous owner-initiated termination proposal.</w:t>
            </w:r>
          </w:p>
          <w:p w14:paraId="3D6BDF1C" w14:textId="77777777" w:rsidR="001B77BE" w:rsidRPr="00B72044" w:rsidRDefault="001B77BE" w:rsidP="007512E9">
            <w:pPr>
              <w:widowControl w:val="0"/>
              <w:rPr>
                <w:rFonts w:ascii="Arial" w:hAnsi="Arial" w:cs="Arial"/>
                <w:sz w:val="24"/>
                <w:szCs w:val="24"/>
              </w:rPr>
            </w:pPr>
          </w:p>
          <w:p w14:paraId="6E5B05F1"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full termination proposal must declare that it is submitted as a unanimous owner-initiated termination proposal, declare that the proposal is submitted on condition that the proposal will only be proceeded with if it has the unanimous support of owners of all lots in the scheme, explain what unanimous support means and declare that the termination proposal will not be modified in a material particular by the proponent after a termination resolution is passed unless the modification has the unanimous support of owners of lots in the scheme. </w:t>
            </w:r>
          </w:p>
        </w:tc>
      </w:tr>
    </w:tbl>
    <w:p w14:paraId="0ABF9928" w14:textId="128343F2" w:rsidR="00A67558" w:rsidRPr="00B72044" w:rsidRDefault="00A67558" w:rsidP="00292F28">
      <w:pPr>
        <w:widowControl w:val="0"/>
        <w:rPr>
          <w:rFonts w:ascii="Arial" w:hAnsi="Arial" w:cs="Arial"/>
        </w:rPr>
      </w:pPr>
    </w:p>
    <w:sectPr w:rsidR="00A67558" w:rsidRPr="00B72044" w:rsidSect="001B77BE">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4E19934" w16cex:dateUtc="2020-04-07T10:27:00Z"/>
  <w16cex:commentExtensible w16cex:durableId="22480DB5" w16cex:dateUtc="2020-04-20T0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20FD4" w14:textId="77777777" w:rsidR="00B37927" w:rsidRDefault="00B37927" w:rsidP="00CA6A2C">
      <w:pPr>
        <w:spacing w:after="0" w:line="240" w:lineRule="auto"/>
      </w:pPr>
      <w:r>
        <w:separator/>
      </w:r>
    </w:p>
  </w:endnote>
  <w:endnote w:type="continuationSeparator" w:id="0">
    <w:p w14:paraId="27BC86AA" w14:textId="77777777" w:rsidR="00B37927" w:rsidRDefault="00B37927" w:rsidP="00CA6A2C">
      <w:pPr>
        <w:spacing w:after="0" w:line="240" w:lineRule="auto"/>
      </w:pPr>
      <w:r>
        <w:continuationSeparator/>
      </w:r>
    </w:p>
  </w:endnote>
  <w:endnote w:type="continuationNotice" w:id="1">
    <w:p w14:paraId="7ECEDBE1" w14:textId="77777777" w:rsidR="00B37927" w:rsidRDefault="00B37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FDC29" w14:textId="77777777" w:rsidR="00A129FC" w:rsidRDefault="00A12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53D9" w14:textId="3D28D515" w:rsidR="00D5748E" w:rsidRPr="000B2C02" w:rsidRDefault="000B2C02" w:rsidP="000B2C02">
    <w:pPr>
      <w:pStyle w:val="Footer"/>
      <w:tabs>
        <w:tab w:val="left" w:pos="6543"/>
      </w:tabs>
      <w:jc w:val="center"/>
      <w:rPr>
        <w:color w:val="839E25"/>
      </w:rPr>
    </w:pPr>
    <w:r w:rsidRPr="00C35B6A">
      <w:rPr>
        <w:color w:val="839E25"/>
      </w:rPr>
      <w:t xml:space="preserve">Version 1 - </w:t>
    </w:r>
    <w:r>
      <w:rPr>
        <w:color w:val="839E25"/>
      </w:rPr>
      <w:t>Effective</w:t>
    </w:r>
    <w:r w:rsidRPr="00C35B6A">
      <w:rPr>
        <w:color w:val="839E25"/>
      </w:rPr>
      <w:t xml:space="preserve">: </w:t>
    </w:r>
    <w:r>
      <w:rPr>
        <w:color w:val="839E25"/>
      </w:rPr>
      <w:t>01/05/</w:t>
    </w:r>
    <w:r w:rsidRPr="00C35B6A">
      <w:rPr>
        <w:color w:val="839E25"/>
      </w:rPr>
      <w:t>2020</w:t>
    </w:r>
    <w:r w:rsidRPr="00C35B6A">
      <w:rPr>
        <w:color w:val="839E25"/>
      </w:rPr>
      <w:tab/>
    </w:r>
    <w:r w:rsidRPr="00C35B6A">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5</w:t>
    </w:r>
    <w:r w:rsidRPr="00C35B6A">
      <w:rPr>
        <w:b/>
        <w:bCs/>
        <w:color w:val="839E25"/>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44747" w14:textId="77777777" w:rsidR="00A129FC" w:rsidRDefault="00A12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5AC8F" w14:textId="77777777" w:rsidR="00B37927" w:rsidRDefault="00B37927" w:rsidP="00CA6A2C">
      <w:pPr>
        <w:spacing w:after="0" w:line="240" w:lineRule="auto"/>
      </w:pPr>
      <w:r>
        <w:separator/>
      </w:r>
    </w:p>
  </w:footnote>
  <w:footnote w:type="continuationSeparator" w:id="0">
    <w:p w14:paraId="212395E4" w14:textId="77777777" w:rsidR="00B37927" w:rsidRDefault="00B37927" w:rsidP="00CA6A2C">
      <w:pPr>
        <w:spacing w:after="0" w:line="240" w:lineRule="auto"/>
      </w:pPr>
      <w:r>
        <w:continuationSeparator/>
      </w:r>
    </w:p>
  </w:footnote>
  <w:footnote w:type="continuationNotice" w:id="1">
    <w:p w14:paraId="65716017" w14:textId="77777777" w:rsidR="00B37927" w:rsidRDefault="00B37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F6094" w14:textId="77777777" w:rsidR="00A129FC" w:rsidRDefault="00A12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0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1"/>
      <w:gridCol w:w="3542"/>
      <w:gridCol w:w="4836"/>
    </w:tblGrid>
    <w:tr w:rsidR="00E9129D" w14:paraId="6C33CA0E" w14:textId="77777777" w:rsidTr="001E2F2D">
      <w:trPr>
        <w:trHeight w:hRule="exact" w:val="805"/>
        <w:jc w:val="center"/>
      </w:trPr>
      <w:tc>
        <w:tcPr>
          <w:tcW w:w="12601" w:type="dxa"/>
          <w:vAlign w:val="bottom"/>
        </w:tcPr>
        <w:p w14:paraId="49961A96" w14:textId="4ECC2D00" w:rsidR="00E9129D" w:rsidRPr="00A20FCB" w:rsidRDefault="00E9129D" w:rsidP="00E9129D">
          <w:pPr>
            <w:pStyle w:val="Header"/>
            <w:rPr>
              <w:color w:val="808080" w:themeColor="background1" w:themeShade="80"/>
              <w:sz w:val="16"/>
              <w:szCs w:val="16"/>
            </w:rPr>
          </w:pPr>
          <w:bookmarkStart w:id="1" w:name="_Hlk37921631"/>
          <w:r w:rsidRPr="00F054FB">
            <w:rPr>
              <w:noProof/>
              <w:color w:val="808080" w:themeColor="background1" w:themeShade="80"/>
              <w:sz w:val="16"/>
              <w:szCs w:val="16"/>
            </w:rPr>
            <w:drawing>
              <wp:anchor distT="0" distB="0" distL="114300" distR="114300" simplePos="0" relativeHeight="251657216" behindDoc="0" locked="0" layoutInCell="1" allowOverlap="1" wp14:anchorId="19DB6962" wp14:editId="162DC1AA">
                <wp:simplePos x="0" y="0"/>
                <wp:positionH relativeFrom="margin">
                  <wp:posOffset>-55245</wp:posOffset>
                </wp:positionH>
                <wp:positionV relativeFrom="paragraph">
                  <wp:posOffset>-40005</wp:posOffset>
                </wp:positionV>
                <wp:extent cx="1699200" cy="5112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00" cy="511200"/>
                        </a:xfrm>
                        <a:prstGeom prst="rect">
                          <a:avLst/>
                        </a:prstGeom>
                      </pic:spPr>
                    </pic:pic>
                  </a:graphicData>
                </a:graphic>
                <wp14:sizeRelH relativeFrom="margin">
                  <wp14:pctWidth>0</wp14:pctWidth>
                </wp14:sizeRelH>
                <wp14:sizeRelV relativeFrom="margin">
                  <wp14:pctHeight>0</wp14:pctHeight>
                </wp14:sizeRelV>
              </wp:anchor>
            </w:drawing>
          </w:r>
        </w:p>
      </w:tc>
      <w:tc>
        <w:tcPr>
          <w:tcW w:w="3542" w:type="dxa"/>
          <w:vAlign w:val="bottom"/>
        </w:tcPr>
        <w:p w14:paraId="1E86D46C" w14:textId="77777777" w:rsidR="00E9129D" w:rsidRPr="00A20FCB" w:rsidRDefault="00E9129D" w:rsidP="00E9129D">
          <w:pPr>
            <w:pStyle w:val="Header"/>
            <w:jc w:val="right"/>
            <w:rPr>
              <w:color w:val="808080" w:themeColor="background1" w:themeShade="80"/>
              <w:sz w:val="16"/>
              <w:szCs w:val="16"/>
            </w:rPr>
          </w:pPr>
          <w:r>
            <w:rPr>
              <w:color w:val="808080" w:themeColor="background1" w:themeShade="80"/>
              <w:sz w:val="16"/>
              <w:szCs w:val="16"/>
            </w:rPr>
            <w:t xml:space="preserve"> </w:t>
          </w:r>
        </w:p>
      </w:tc>
      <w:tc>
        <w:tcPr>
          <w:tcW w:w="4836" w:type="dxa"/>
          <w:vAlign w:val="bottom"/>
        </w:tcPr>
        <w:p w14:paraId="358FE43D" w14:textId="154598E9" w:rsidR="00E9129D" w:rsidRDefault="00E9129D" w:rsidP="00E9129D">
          <w:pPr>
            <w:pStyle w:val="Header"/>
            <w:jc w:val="right"/>
          </w:pPr>
          <w:r w:rsidRPr="00A20FCB">
            <w:rPr>
              <w:color w:val="808080" w:themeColor="background1" w:themeShade="80"/>
              <w:sz w:val="16"/>
              <w:szCs w:val="16"/>
            </w:rPr>
            <w:t xml:space="preserve">Approved Form </w:t>
          </w:r>
          <w:r w:rsidR="009D354F">
            <w:rPr>
              <w:color w:val="808080" w:themeColor="background1" w:themeShade="80"/>
              <w:sz w:val="16"/>
              <w:szCs w:val="16"/>
            </w:rPr>
            <w:t>2020-28963</w:t>
          </w:r>
        </w:p>
      </w:tc>
    </w:tr>
  </w:tbl>
  <w:bookmarkEnd w:id="1"/>
  <w:p w14:paraId="43C2A50F" w14:textId="62D5F1C5" w:rsidR="00CA6A2C" w:rsidRDefault="00711D4F" w:rsidP="00663749">
    <w:pPr>
      <w:pStyle w:val="Header"/>
      <w:tabs>
        <w:tab w:val="clear" w:pos="9026"/>
        <w:tab w:val="right" w:pos="20838"/>
      </w:tabs>
      <w:rPr>
        <w:b/>
        <w:bCs/>
        <w:sz w:val="28"/>
        <w:szCs w:val="28"/>
      </w:rPr>
    </w:pPr>
    <w:r>
      <w:rPr>
        <w:b/>
        <w:bCs/>
        <w:sz w:val="28"/>
        <w:szCs w:val="28"/>
      </w:rPr>
      <w:t>Matrix</w:t>
    </w:r>
    <w:r w:rsidR="001017FE" w:rsidRPr="001017FE">
      <w:rPr>
        <w:b/>
        <w:bCs/>
        <w:sz w:val="28"/>
        <w:szCs w:val="28"/>
      </w:rPr>
      <w:t xml:space="preserve"> </w:t>
    </w:r>
    <w:r w:rsidR="001017FE">
      <w:rPr>
        <w:b/>
        <w:bCs/>
        <w:sz w:val="28"/>
        <w:szCs w:val="28"/>
      </w:rPr>
      <w:t>of Dissenting</w:t>
    </w:r>
    <w:r w:rsidR="001017FE" w:rsidRPr="001017FE">
      <w:rPr>
        <w:b/>
        <w:bCs/>
        <w:sz w:val="28"/>
        <w:szCs w:val="28"/>
      </w:rPr>
      <w:t xml:space="preserve"> </w:t>
    </w:r>
    <w:r w:rsidR="001017FE">
      <w:rPr>
        <w:b/>
        <w:bCs/>
        <w:sz w:val="28"/>
        <w:szCs w:val="28"/>
      </w:rPr>
      <w:t>Owner Protections</w:t>
    </w:r>
    <w:r w:rsidR="00663749" w:rsidRPr="00711D4F">
      <w:rPr>
        <w:b/>
        <w:bCs/>
        <w:sz w:val="28"/>
        <w:szCs w:val="28"/>
      </w:rPr>
      <w:tab/>
      <w:t>APPENDIX B</w:t>
    </w:r>
  </w:p>
  <w:p w14:paraId="5D13EF9A" w14:textId="77777777" w:rsidR="00160405" w:rsidRPr="00711D4F" w:rsidRDefault="00160405" w:rsidP="00663749">
    <w:pPr>
      <w:pStyle w:val="Header"/>
      <w:tabs>
        <w:tab w:val="clear" w:pos="9026"/>
        <w:tab w:val="right" w:pos="20838"/>
      </w:tabs>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36DB1" w14:textId="77777777" w:rsidR="00A129FC" w:rsidRDefault="00A12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BEF"/>
    <w:multiLevelType w:val="hybridMultilevel"/>
    <w:tmpl w:val="F82693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C784F25"/>
    <w:multiLevelType w:val="hybridMultilevel"/>
    <w:tmpl w:val="E960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43BEC"/>
    <w:multiLevelType w:val="hybridMultilevel"/>
    <w:tmpl w:val="1F3E047C"/>
    <w:lvl w:ilvl="0" w:tplc="AECA15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5C1784"/>
    <w:multiLevelType w:val="hybridMultilevel"/>
    <w:tmpl w:val="98AC8B8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 w15:restartNumberingAfterBreak="0">
    <w:nsid w:val="5B3378CD"/>
    <w:multiLevelType w:val="hybridMultilevel"/>
    <w:tmpl w:val="3030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B138E0"/>
    <w:multiLevelType w:val="hybridMultilevel"/>
    <w:tmpl w:val="2E3402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65E95742"/>
    <w:multiLevelType w:val="hybridMultilevel"/>
    <w:tmpl w:val="BEA4236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D45A5F"/>
    <w:multiLevelType w:val="hybridMultilevel"/>
    <w:tmpl w:val="50E4A3C2"/>
    <w:lvl w:ilvl="0" w:tplc="D4624C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93E3BF"/>
    <w:rsid w:val="00002B75"/>
    <w:rsid w:val="00011C58"/>
    <w:rsid w:val="00012AC4"/>
    <w:rsid w:val="00013AFE"/>
    <w:rsid w:val="00016EFF"/>
    <w:rsid w:val="00036FDF"/>
    <w:rsid w:val="00056C86"/>
    <w:rsid w:val="0006082B"/>
    <w:rsid w:val="00067996"/>
    <w:rsid w:val="0007202B"/>
    <w:rsid w:val="000852CE"/>
    <w:rsid w:val="00090E16"/>
    <w:rsid w:val="000940B9"/>
    <w:rsid w:val="000A50DB"/>
    <w:rsid w:val="000B2C02"/>
    <w:rsid w:val="000B6B2B"/>
    <w:rsid w:val="000C5477"/>
    <w:rsid w:val="000D08F2"/>
    <w:rsid w:val="000D39A4"/>
    <w:rsid w:val="000D62D8"/>
    <w:rsid w:val="000F5C32"/>
    <w:rsid w:val="001017FE"/>
    <w:rsid w:val="00104453"/>
    <w:rsid w:val="00104A72"/>
    <w:rsid w:val="001104D4"/>
    <w:rsid w:val="00115AD3"/>
    <w:rsid w:val="00135B0B"/>
    <w:rsid w:val="00135E92"/>
    <w:rsid w:val="001453A9"/>
    <w:rsid w:val="001530C9"/>
    <w:rsid w:val="00155D03"/>
    <w:rsid w:val="00155ED5"/>
    <w:rsid w:val="00160405"/>
    <w:rsid w:val="001610A2"/>
    <w:rsid w:val="00161CC3"/>
    <w:rsid w:val="00163336"/>
    <w:rsid w:val="001719BA"/>
    <w:rsid w:val="00185A40"/>
    <w:rsid w:val="00194646"/>
    <w:rsid w:val="0019603B"/>
    <w:rsid w:val="001A154F"/>
    <w:rsid w:val="001A219B"/>
    <w:rsid w:val="001A43F6"/>
    <w:rsid w:val="001A526A"/>
    <w:rsid w:val="001B0B5D"/>
    <w:rsid w:val="001B1194"/>
    <w:rsid w:val="001B39D1"/>
    <w:rsid w:val="001B4CB0"/>
    <w:rsid w:val="001B52B7"/>
    <w:rsid w:val="001B77BE"/>
    <w:rsid w:val="001C56E8"/>
    <w:rsid w:val="001C7FF8"/>
    <w:rsid w:val="001D0799"/>
    <w:rsid w:val="001D1438"/>
    <w:rsid w:val="001D3DC9"/>
    <w:rsid w:val="001D636D"/>
    <w:rsid w:val="001D6460"/>
    <w:rsid w:val="001D6B8F"/>
    <w:rsid w:val="001D6D29"/>
    <w:rsid w:val="001E2F2D"/>
    <w:rsid w:val="001E61D4"/>
    <w:rsid w:val="00206079"/>
    <w:rsid w:val="00232F8D"/>
    <w:rsid w:val="00234B30"/>
    <w:rsid w:val="00235371"/>
    <w:rsid w:val="00236311"/>
    <w:rsid w:val="00236E61"/>
    <w:rsid w:val="002413E0"/>
    <w:rsid w:val="0024499C"/>
    <w:rsid w:val="00254A18"/>
    <w:rsid w:val="00263B4F"/>
    <w:rsid w:val="002769F5"/>
    <w:rsid w:val="00286E3F"/>
    <w:rsid w:val="00291D5C"/>
    <w:rsid w:val="00292F28"/>
    <w:rsid w:val="002A20A7"/>
    <w:rsid w:val="002B1DA8"/>
    <w:rsid w:val="002B1ED1"/>
    <w:rsid w:val="002C6888"/>
    <w:rsid w:val="002D08FC"/>
    <w:rsid w:val="002D21AB"/>
    <w:rsid w:val="002E1B83"/>
    <w:rsid w:val="002E7E3B"/>
    <w:rsid w:val="002F0A44"/>
    <w:rsid w:val="002F0D04"/>
    <w:rsid w:val="00306160"/>
    <w:rsid w:val="0031193C"/>
    <w:rsid w:val="00324237"/>
    <w:rsid w:val="0034028D"/>
    <w:rsid w:val="0034201C"/>
    <w:rsid w:val="003522C3"/>
    <w:rsid w:val="00354517"/>
    <w:rsid w:val="00354D8C"/>
    <w:rsid w:val="003608E2"/>
    <w:rsid w:val="00367EAD"/>
    <w:rsid w:val="003704ED"/>
    <w:rsid w:val="00371FC1"/>
    <w:rsid w:val="003729C3"/>
    <w:rsid w:val="00380968"/>
    <w:rsid w:val="003820C3"/>
    <w:rsid w:val="0038450D"/>
    <w:rsid w:val="003A55DD"/>
    <w:rsid w:val="003B2B96"/>
    <w:rsid w:val="003B4346"/>
    <w:rsid w:val="003B5E21"/>
    <w:rsid w:val="003C28E4"/>
    <w:rsid w:val="003D7D49"/>
    <w:rsid w:val="003E47EC"/>
    <w:rsid w:val="003F225C"/>
    <w:rsid w:val="003F3605"/>
    <w:rsid w:val="003F4BFE"/>
    <w:rsid w:val="00410451"/>
    <w:rsid w:val="00410BCB"/>
    <w:rsid w:val="0042044F"/>
    <w:rsid w:val="00421DEC"/>
    <w:rsid w:val="00425F40"/>
    <w:rsid w:val="00430F04"/>
    <w:rsid w:val="004346D1"/>
    <w:rsid w:val="004513F9"/>
    <w:rsid w:val="00463A13"/>
    <w:rsid w:val="004645C3"/>
    <w:rsid w:val="00467B91"/>
    <w:rsid w:val="004741EF"/>
    <w:rsid w:val="00481E8E"/>
    <w:rsid w:val="004839F1"/>
    <w:rsid w:val="004861E7"/>
    <w:rsid w:val="00486F40"/>
    <w:rsid w:val="004A0D0C"/>
    <w:rsid w:val="004A26DC"/>
    <w:rsid w:val="004B0D69"/>
    <w:rsid w:val="004C3FA1"/>
    <w:rsid w:val="004C636A"/>
    <w:rsid w:val="004D2F07"/>
    <w:rsid w:val="004D7122"/>
    <w:rsid w:val="004E062A"/>
    <w:rsid w:val="004E0924"/>
    <w:rsid w:val="004E34BF"/>
    <w:rsid w:val="004E36F8"/>
    <w:rsid w:val="004E3BA2"/>
    <w:rsid w:val="004E4A61"/>
    <w:rsid w:val="004F480F"/>
    <w:rsid w:val="004F6C05"/>
    <w:rsid w:val="00501764"/>
    <w:rsid w:val="00512B36"/>
    <w:rsid w:val="00513913"/>
    <w:rsid w:val="00515113"/>
    <w:rsid w:val="00515BF0"/>
    <w:rsid w:val="00516CD6"/>
    <w:rsid w:val="00524EB2"/>
    <w:rsid w:val="00525341"/>
    <w:rsid w:val="005332CB"/>
    <w:rsid w:val="005337A8"/>
    <w:rsid w:val="00545233"/>
    <w:rsid w:val="00552E32"/>
    <w:rsid w:val="00553E52"/>
    <w:rsid w:val="00554474"/>
    <w:rsid w:val="00554502"/>
    <w:rsid w:val="00556A30"/>
    <w:rsid w:val="005662BE"/>
    <w:rsid w:val="00566CB9"/>
    <w:rsid w:val="0057133A"/>
    <w:rsid w:val="005728E5"/>
    <w:rsid w:val="00574BAF"/>
    <w:rsid w:val="00585F34"/>
    <w:rsid w:val="0058672B"/>
    <w:rsid w:val="005B1B1F"/>
    <w:rsid w:val="005B25A3"/>
    <w:rsid w:val="005B5A0D"/>
    <w:rsid w:val="005C06DA"/>
    <w:rsid w:val="005C1DE5"/>
    <w:rsid w:val="005C2784"/>
    <w:rsid w:val="005E7ED6"/>
    <w:rsid w:val="005F0F8E"/>
    <w:rsid w:val="005F1234"/>
    <w:rsid w:val="00602B9F"/>
    <w:rsid w:val="00615C0A"/>
    <w:rsid w:val="006205AB"/>
    <w:rsid w:val="00621BC6"/>
    <w:rsid w:val="00633F6A"/>
    <w:rsid w:val="006422A8"/>
    <w:rsid w:val="00642ADE"/>
    <w:rsid w:val="00644504"/>
    <w:rsid w:val="00655BC0"/>
    <w:rsid w:val="0065620A"/>
    <w:rsid w:val="00661DB1"/>
    <w:rsid w:val="00663749"/>
    <w:rsid w:val="00671BFF"/>
    <w:rsid w:val="0067656C"/>
    <w:rsid w:val="00691B6F"/>
    <w:rsid w:val="006940B0"/>
    <w:rsid w:val="006A02C1"/>
    <w:rsid w:val="006A14AE"/>
    <w:rsid w:val="006B0ADD"/>
    <w:rsid w:val="006B19FC"/>
    <w:rsid w:val="006B31DC"/>
    <w:rsid w:val="006C6C35"/>
    <w:rsid w:val="006D31DD"/>
    <w:rsid w:val="006D3C13"/>
    <w:rsid w:val="006D3F6D"/>
    <w:rsid w:val="006E75AF"/>
    <w:rsid w:val="006E762A"/>
    <w:rsid w:val="006F2CAE"/>
    <w:rsid w:val="0070012B"/>
    <w:rsid w:val="00711D4F"/>
    <w:rsid w:val="0073577E"/>
    <w:rsid w:val="007366F9"/>
    <w:rsid w:val="007420AE"/>
    <w:rsid w:val="007512E9"/>
    <w:rsid w:val="00752946"/>
    <w:rsid w:val="007532E0"/>
    <w:rsid w:val="007560A8"/>
    <w:rsid w:val="00762D4F"/>
    <w:rsid w:val="00763DFF"/>
    <w:rsid w:val="00765881"/>
    <w:rsid w:val="007710D8"/>
    <w:rsid w:val="00772C71"/>
    <w:rsid w:val="00777146"/>
    <w:rsid w:val="00782207"/>
    <w:rsid w:val="00793BDE"/>
    <w:rsid w:val="00794653"/>
    <w:rsid w:val="00797B4C"/>
    <w:rsid w:val="007A71A4"/>
    <w:rsid w:val="007B0113"/>
    <w:rsid w:val="007B518C"/>
    <w:rsid w:val="007C6543"/>
    <w:rsid w:val="007D00FA"/>
    <w:rsid w:val="007D192A"/>
    <w:rsid w:val="007D2C59"/>
    <w:rsid w:val="007D30C2"/>
    <w:rsid w:val="007D48C1"/>
    <w:rsid w:val="007D5049"/>
    <w:rsid w:val="007D68AF"/>
    <w:rsid w:val="007E1FC3"/>
    <w:rsid w:val="007E5CF1"/>
    <w:rsid w:val="007E7AA7"/>
    <w:rsid w:val="007F001B"/>
    <w:rsid w:val="007F1925"/>
    <w:rsid w:val="007F27C6"/>
    <w:rsid w:val="00821EDA"/>
    <w:rsid w:val="0082217C"/>
    <w:rsid w:val="00822633"/>
    <w:rsid w:val="008226DE"/>
    <w:rsid w:val="00823942"/>
    <w:rsid w:val="00825533"/>
    <w:rsid w:val="00826B22"/>
    <w:rsid w:val="008377F2"/>
    <w:rsid w:val="008428E8"/>
    <w:rsid w:val="00845DC9"/>
    <w:rsid w:val="00860D6A"/>
    <w:rsid w:val="00862908"/>
    <w:rsid w:val="008667DB"/>
    <w:rsid w:val="008712F4"/>
    <w:rsid w:val="00873630"/>
    <w:rsid w:val="00876EED"/>
    <w:rsid w:val="00877A80"/>
    <w:rsid w:val="008842DD"/>
    <w:rsid w:val="00885D5A"/>
    <w:rsid w:val="0089654E"/>
    <w:rsid w:val="00897D7C"/>
    <w:rsid w:val="008C0C1D"/>
    <w:rsid w:val="008C1095"/>
    <w:rsid w:val="008C125A"/>
    <w:rsid w:val="008C1BB2"/>
    <w:rsid w:val="008D2A44"/>
    <w:rsid w:val="008E50EE"/>
    <w:rsid w:val="008F3DED"/>
    <w:rsid w:val="00922C89"/>
    <w:rsid w:val="00926EAF"/>
    <w:rsid w:val="00932215"/>
    <w:rsid w:val="009346E0"/>
    <w:rsid w:val="00936A85"/>
    <w:rsid w:val="00944A18"/>
    <w:rsid w:val="00950AE2"/>
    <w:rsid w:val="009544A0"/>
    <w:rsid w:val="00955197"/>
    <w:rsid w:val="00956D18"/>
    <w:rsid w:val="00960F84"/>
    <w:rsid w:val="00961A68"/>
    <w:rsid w:val="00962660"/>
    <w:rsid w:val="00962CA2"/>
    <w:rsid w:val="00965804"/>
    <w:rsid w:val="00966B74"/>
    <w:rsid w:val="00966E2A"/>
    <w:rsid w:val="0097315D"/>
    <w:rsid w:val="00983E18"/>
    <w:rsid w:val="00983F3F"/>
    <w:rsid w:val="009916D9"/>
    <w:rsid w:val="009A2E97"/>
    <w:rsid w:val="009B1882"/>
    <w:rsid w:val="009B2396"/>
    <w:rsid w:val="009B2E77"/>
    <w:rsid w:val="009B3FA4"/>
    <w:rsid w:val="009B6E25"/>
    <w:rsid w:val="009C0766"/>
    <w:rsid w:val="009C1946"/>
    <w:rsid w:val="009C1E38"/>
    <w:rsid w:val="009C36A1"/>
    <w:rsid w:val="009D0415"/>
    <w:rsid w:val="009D354F"/>
    <w:rsid w:val="009D50C8"/>
    <w:rsid w:val="009D5197"/>
    <w:rsid w:val="009D5526"/>
    <w:rsid w:val="009E3119"/>
    <w:rsid w:val="009F07BC"/>
    <w:rsid w:val="009F1AB4"/>
    <w:rsid w:val="00A078D1"/>
    <w:rsid w:val="00A129FC"/>
    <w:rsid w:val="00A14006"/>
    <w:rsid w:val="00A2165C"/>
    <w:rsid w:val="00A27C25"/>
    <w:rsid w:val="00A3730A"/>
    <w:rsid w:val="00A630E7"/>
    <w:rsid w:val="00A67558"/>
    <w:rsid w:val="00A75D37"/>
    <w:rsid w:val="00A811EC"/>
    <w:rsid w:val="00A8418E"/>
    <w:rsid w:val="00A87270"/>
    <w:rsid w:val="00A87920"/>
    <w:rsid w:val="00A97453"/>
    <w:rsid w:val="00A976C7"/>
    <w:rsid w:val="00AA3248"/>
    <w:rsid w:val="00AA3F76"/>
    <w:rsid w:val="00AA590E"/>
    <w:rsid w:val="00AA758E"/>
    <w:rsid w:val="00AB0DDC"/>
    <w:rsid w:val="00AB3061"/>
    <w:rsid w:val="00AB34BE"/>
    <w:rsid w:val="00AB6615"/>
    <w:rsid w:val="00AC018B"/>
    <w:rsid w:val="00AC5C37"/>
    <w:rsid w:val="00AD0367"/>
    <w:rsid w:val="00AD1559"/>
    <w:rsid w:val="00AD3005"/>
    <w:rsid w:val="00AD63E6"/>
    <w:rsid w:val="00AE75F2"/>
    <w:rsid w:val="00B04B56"/>
    <w:rsid w:val="00B05C4F"/>
    <w:rsid w:val="00B06184"/>
    <w:rsid w:val="00B07E78"/>
    <w:rsid w:val="00B16710"/>
    <w:rsid w:val="00B214F7"/>
    <w:rsid w:val="00B32062"/>
    <w:rsid w:val="00B33BE6"/>
    <w:rsid w:val="00B34454"/>
    <w:rsid w:val="00B37927"/>
    <w:rsid w:val="00B46DC6"/>
    <w:rsid w:val="00B4791E"/>
    <w:rsid w:val="00B47BF9"/>
    <w:rsid w:val="00B47C3C"/>
    <w:rsid w:val="00B51C86"/>
    <w:rsid w:val="00B53B47"/>
    <w:rsid w:val="00B56D1B"/>
    <w:rsid w:val="00B57431"/>
    <w:rsid w:val="00B667D5"/>
    <w:rsid w:val="00B71F8A"/>
    <w:rsid w:val="00B72044"/>
    <w:rsid w:val="00B7352D"/>
    <w:rsid w:val="00BC6CC3"/>
    <w:rsid w:val="00BD4365"/>
    <w:rsid w:val="00BD4741"/>
    <w:rsid w:val="00BE1158"/>
    <w:rsid w:val="00BE18C3"/>
    <w:rsid w:val="00BF36D6"/>
    <w:rsid w:val="00C00E2E"/>
    <w:rsid w:val="00C03110"/>
    <w:rsid w:val="00C03221"/>
    <w:rsid w:val="00C11650"/>
    <w:rsid w:val="00C16335"/>
    <w:rsid w:val="00C16C88"/>
    <w:rsid w:val="00C204A6"/>
    <w:rsid w:val="00C24511"/>
    <w:rsid w:val="00C33058"/>
    <w:rsid w:val="00C53858"/>
    <w:rsid w:val="00C54028"/>
    <w:rsid w:val="00C61DE9"/>
    <w:rsid w:val="00C71625"/>
    <w:rsid w:val="00C71B2A"/>
    <w:rsid w:val="00C90798"/>
    <w:rsid w:val="00C9475F"/>
    <w:rsid w:val="00C972D3"/>
    <w:rsid w:val="00C9775C"/>
    <w:rsid w:val="00CA6A2C"/>
    <w:rsid w:val="00CB1185"/>
    <w:rsid w:val="00CB31BB"/>
    <w:rsid w:val="00CE375E"/>
    <w:rsid w:val="00CE65BF"/>
    <w:rsid w:val="00CF3E6B"/>
    <w:rsid w:val="00D004DE"/>
    <w:rsid w:val="00D11E46"/>
    <w:rsid w:val="00D12FE9"/>
    <w:rsid w:val="00D20740"/>
    <w:rsid w:val="00D30B52"/>
    <w:rsid w:val="00D31324"/>
    <w:rsid w:val="00D32DA7"/>
    <w:rsid w:val="00D336A8"/>
    <w:rsid w:val="00D34439"/>
    <w:rsid w:val="00D456FA"/>
    <w:rsid w:val="00D50D61"/>
    <w:rsid w:val="00D56879"/>
    <w:rsid w:val="00D56CF1"/>
    <w:rsid w:val="00D5748E"/>
    <w:rsid w:val="00D57D07"/>
    <w:rsid w:val="00D6464B"/>
    <w:rsid w:val="00D65B20"/>
    <w:rsid w:val="00D705C2"/>
    <w:rsid w:val="00D7619F"/>
    <w:rsid w:val="00D768C6"/>
    <w:rsid w:val="00D86879"/>
    <w:rsid w:val="00D92E88"/>
    <w:rsid w:val="00D935C2"/>
    <w:rsid w:val="00DA132F"/>
    <w:rsid w:val="00DA3044"/>
    <w:rsid w:val="00DA3611"/>
    <w:rsid w:val="00DA38CA"/>
    <w:rsid w:val="00DA6BF9"/>
    <w:rsid w:val="00DB3F41"/>
    <w:rsid w:val="00DB3FBB"/>
    <w:rsid w:val="00DB66F3"/>
    <w:rsid w:val="00DC4DEC"/>
    <w:rsid w:val="00DC7368"/>
    <w:rsid w:val="00DD062D"/>
    <w:rsid w:val="00DE08D1"/>
    <w:rsid w:val="00DE20EE"/>
    <w:rsid w:val="00DF2E9B"/>
    <w:rsid w:val="00DF5C48"/>
    <w:rsid w:val="00DF5F84"/>
    <w:rsid w:val="00DF6A71"/>
    <w:rsid w:val="00E04FB4"/>
    <w:rsid w:val="00E06BEF"/>
    <w:rsid w:val="00E07385"/>
    <w:rsid w:val="00E23003"/>
    <w:rsid w:val="00E251C9"/>
    <w:rsid w:val="00E31438"/>
    <w:rsid w:val="00E3281F"/>
    <w:rsid w:val="00E36E3E"/>
    <w:rsid w:val="00E37B48"/>
    <w:rsid w:val="00E475C4"/>
    <w:rsid w:val="00E47D35"/>
    <w:rsid w:val="00E62ACD"/>
    <w:rsid w:val="00E9129D"/>
    <w:rsid w:val="00E92915"/>
    <w:rsid w:val="00E937AE"/>
    <w:rsid w:val="00E94B19"/>
    <w:rsid w:val="00E95848"/>
    <w:rsid w:val="00E97EA4"/>
    <w:rsid w:val="00EA1E7E"/>
    <w:rsid w:val="00EA20F4"/>
    <w:rsid w:val="00EA6DA3"/>
    <w:rsid w:val="00EB1032"/>
    <w:rsid w:val="00EB6273"/>
    <w:rsid w:val="00ED0E6B"/>
    <w:rsid w:val="00EF2289"/>
    <w:rsid w:val="00EF27AA"/>
    <w:rsid w:val="00EF294F"/>
    <w:rsid w:val="00EF70DC"/>
    <w:rsid w:val="00F179BE"/>
    <w:rsid w:val="00F22A23"/>
    <w:rsid w:val="00F31202"/>
    <w:rsid w:val="00F33D56"/>
    <w:rsid w:val="00F42524"/>
    <w:rsid w:val="00F428FB"/>
    <w:rsid w:val="00F453AA"/>
    <w:rsid w:val="00F63D5D"/>
    <w:rsid w:val="00F72D40"/>
    <w:rsid w:val="00F74456"/>
    <w:rsid w:val="00F74EA9"/>
    <w:rsid w:val="00F8151C"/>
    <w:rsid w:val="00F83179"/>
    <w:rsid w:val="00F91899"/>
    <w:rsid w:val="00FA4918"/>
    <w:rsid w:val="00FB2097"/>
    <w:rsid w:val="00FB27AF"/>
    <w:rsid w:val="00FB5CFC"/>
    <w:rsid w:val="00FB6F5B"/>
    <w:rsid w:val="00FC3AD2"/>
    <w:rsid w:val="00FC5A58"/>
    <w:rsid w:val="00FC778A"/>
    <w:rsid w:val="00FD3A41"/>
    <w:rsid w:val="00FE0BEA"/>
    <w:rsid w:val="00FE1318"/>
    <w:rsid w:val="00FE6BFF"/>
    <w:rsid w:val="00FF25DE"/>
    <w:rsid w:val="00FF518D"/>
    <w:rsid w:val="01AD1BD9"/>
    <w:rsid w:val="06BD241D"/>
    <w:rsid w:val="0716D974"/>
    <w:rsid w:val="090A4635"/>
    <w:rsid w:val="0A06F3C4"/>
    <w:rsid w:val="0D1A5FD5"/>
    <w:rsid w:val="0EC08F48"/>
    <w:rsid w:val="1096DCAE"/>
    <w:rsid w:val="150BA148"/>
    <w:rsid w:val="1B92C206"/>
    <w:rsid w:val="1FDD608B"/>
    <w:rsid w:val="214AE21D"/>
    <w:rsid w:val="2493E3BF"/>
    <w:rsid w:val="2B993D6F"/>
    <w:rsid w:val="303B35E7"/>
    <w:rsid w:val="30475BE2"/>
    <w:rsid w:val="32E3F092"/>
    <w:rsid w:val="33506D88"/>
    <w:rsid w:val="33DBC6F9"/>
    <w:rsid w:val="33F7C903"/>
    <w:rsid w:val="3621F6D9"/>
    <w:rsid w:val="3AE6C21D"/>
    <w:rsid w:val="3EF1BA84"/>
    <w:rsid w:val="3FC48A3E"/>
    <w:rsid w:val="434098ED"/>
    <w:rsid w:val="45AF7035"/>
    <w:rsid w:val="45B81E8C"/>
    <w:rsid w:val="481CFB74"/>
    <w:rsid w:val="486FB47A"/>
    <w:rsid w:val="4BB94D0A"/>
    <w:rsid w:val="4C51CF55"/>
    <w:rsid w:val="4CB63089"/>
    <w:rsid w:val="4CD76A58"/>
    <w:rsid w:val="4EF40A07"/>
    <w:rsid w:val="501AE7C5"/>
    <w:rsid w:val="52930E49"/>
    <w:rsid w:val="54879EF7"/>
    <w:rsid w:val="551D60CF"/>
    <w:rsid w:val="5535E515"/>
    <w:rsid w:val="56404CF2"/>
    <w:rsid w:val="5ADC36BA"/>
    <w:rsid w:val="5B9645EF"/>
    <w:rsid w:val="5CF60698"/>
    <w:rsid w:val="6053A6EE"/>
    <w:rsid w:val="60D57B05"/>
    <w:rsid w:val="617CC468"/>
    <w:rsid w:val="6A45D53B"/>
    <w:rsid w:val="6B7BE629"/>
    <w:rsid w:val="6BA7AB63"/>
    <w:rsid w:val="6ED87F01"/>
    <w:rsid w:val="7028EB5A"/>
    <w:rsid w:val="70537412"/>
    <w:rsid w:val="7488CF94"/>
    <w:rsid w:val="75AF4284"/>
    <w:rsid w:val="76AA6C55"/>
    <w:rsid w:val="770C8B15"/>
    <w:rsid w:val="7B949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3E3BF"/>
  <w15:chartTrackingRefBased/>
  <w15:docId w15:val="{79B00270-7E29-455B-8813-ADD77EF4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82"/>
    <w:rPr>
      <w:rFonts w:ascii="Segoe UI" w:hAnsi="Segoe UI" w:cs="Segoe UI"/>
      <w:sz w:val="18"/>
      <w:szCs w:val="18"/>
    </w:rPr>
  </w:style>
  <w:style w:type="paragraph" w:styleId="ListParagraph">
    <w:name w:val="List Paragraph"/>
    <w:basedOn w:val="Normal"/>
    <w:uiPriority w:val="34"/>
    <w:qFormat/>
    <w:rsid w:val="009B1882"/>
    <w:pPr>
      <w:ind w:left="720"/>
      <w:contextualSpacing/>
    </w:pPr>
  </w:style>
  <w:style w:type="paragraph" w:styleId="CommentText">
    <w:name w:val="annotation text"/>
    <w:basedOn w:val="Normal"/>
    <w:link w:val="CommentTextChar"/>
    <w:uiPriority w:val="99"/>
    <w:semiHidden/>
    <w:unhideWhenUsed/>
    <w:rsid w:val="00012AC4"/>
    <w:pPr>
      <w:spacing w:line="240" w:lineRule="auto"/>
    </w:pPr>
    <w:rPr>
      <w:sz w:val="20"/>
      <w:szCs w:val="20"/>
    </w:rPr>
  </w:style>
  <w:style w:type="character" w:customStyle="1" w:styleId="CommentTextChar">
    <w:name w:val="Comment Text Char"/>
    <w:basedOn w:val="DefaultParagraphFont"/>
    <w:link w:val="CommentText"/>
    <w:uiPriority w:val="99"/>
    <w:semiHidden/>
    <w:rsid w:val="00012AC4"/>
    <w:rPr>
      <w:sz w:val="20"/>
      <w:szCs w:val="20"/>
    </w:rPr>
  </w:style>
  <w:style w:type="character" w:styleId="CommentReference">
    <w:name w:val="annotation reference"/>
    <w:basedOn w:val="DefaultParagraphFont"/>
    <w:uiPriority w:val="99"/>
    <w:semiHidden/>
    <w:unhideWhenUsed/>
    <w:rsid w:val="00012AC4"/>
    <w:rPr>
      <w:sz w:val="16"/>
      <w:szCs w:val="16"/>
    </w:rPr>
  </w:style>
  <w:style w:type="paragraph" w:styleId="Revision">
    <w:name w:val="Revision"/>
    <w:hidden/>
    <w:uiPriority w:val="99"/>
    <w:semiHidden/>
    <w:rsid w:val="00FD3A41"/>
    <w:pPr>
      <w:spacing w:after="0" w:line="240" w:lineRule="auto"/>
    </w:pPr>
  </w:style>
  <w:style w:type="paragraph" w:styleId="Header">
    <w:name w:val="header"/>
    <w:basedOn w:val="Normal"/>
    <w:link w:val="HeaderChar"/>
    <w:uiPriority w:val="99"/>
    <w:unhideWhenUsed/>
    <w:rsid w:val="00CA6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2C"/>
  </w:style>
  <w:style w:type="paragraph" w:styleId="Footer">
    <w:name w:val="footer"/>
    <w:basedOn w:val="Normal"/>
    <w:link w:val="FooterChar"/>
    <w:uiPriority w:val="99"/>
    <w:unhideWhenUsed/>
    <w:rsid w:val="00CA6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2C"/>
  </w:style>
  <w:style w:type="paragraph" w:styleId="CommentSubject">
    <w:name w:val="annotation subject"/>
    <w:basedOn w:val="CommentText"/>
    <w:next w:val="CommentText"/>
    <w:link w:val="CommentSubjectChar"/>
    <w:uiPriority w:val="99"/>
    <w:semiHidden/>
    <w:unhideWhenUsed/>
    <w:rsid w:val="008D2A44"/>
    <w:rPr>
      <w:b/>
      <w:bCs/>
    </w:rPr>
  </w:style>
  <w:style w:type="character" w:customStyle="1" w:styleId="CommentSubjectChar">
    <w:name w:val="Comment Subject Char"/>
    <w:basedOn w:val="CommentTextChar"/>
    <w:link w:val="CommentSubject"/>
    <w:uiPriority w:val="99"/>
    <w:semiHidden/>
    <w:rsid w:val="008D2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_x002f_Activity xmlns="b45fe360-0b8b-4d96-b293-07daf5a519e5">New strata forms</Process_x002f_Activity>
    <Content xmlns="b45fe360-0b8b-4d96-b293-07daf5a519e5">Working document</Content>
    <issx xmlns="b45fe360-0b8b-4d96-b293-07daf5a519e5">
      <UserInfo>
        <DisplayName>Alison Fleming</DisplayName>
        <AccountId>45</AccountId>
        <AccountType/>
      </UserInfo>
    </issx>
    <Document_x0020_Type xmlns="b45fe360-0b8b-4d96-b293-07daf5a519e5">Form</Document_x0020_Type>
    <SharedWithUsers xmlns="e918e316-8ebf-402b-8dc9-510f44632d57">
      <UserInfo>
        <DisplayName>Paul Asphar</DisplayName>
        <AccountId>41</AccountId>
        <AccountType/>
      </UserInfo>
      <UserInfo>
        <DisplayName>Helen Turner</DisplayName>
        <AccountId>48</AccountId>
        <AccountType/>
      </UserInfo>
      <UserInfo>
        <DisplayName>Alison Fleming</DisplayName>
        <AccountId>45</AccountId>
        <AccountType/>
      </UserInfo>
    </SharedWithUsers>
    <Comments xmlns="b45fe360-0b8b-4d96-b293-07daf5a519e5">Draft published for feedback</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A604CBE7B14B4BBD6F331956CF5244" ma:contentTypeVersion="15" ma:contentTypeDescription="Create a new document." ma:contentTypeScope="" ma:versionID="f17c1762c8018793ac4ac8ffc3f52c02">
  <xsd:schema xmlns:xsd="http://www.w3.org/2001/XMLSchema" xmlns:xs="http://www.w3.org/2001/XMLSchema" xmlns:p="http://schemas.microsoft.com/office/2006/metadata/properties" xmlns:ns2="b45fe360-0b8b-4d96-b293-07daf5a519e5" xmlns:ns3="e918e316-8ebf-402b-8dc9-510f44632d57" targetNamespace="http://schemas.microsoft.com/office/2006/metadata/properties" ma:root="true" ma:fieldsID="b24aa444795661f55121c717f8f60b42" ns2:_="" ns3:_="">
    <xsd:import namespace="b45fe360-0b8b-4d96-b293-07daf5a519e5"/>
    <xsd:import namespace="e918e316-8ebf-402b-8dc9-510f44632d57"/>
    <xsd:element name="properties">
      <xsd:complexType>
        <xsd:sequence>
          <xsd:element name="documentManagement">
            <xsd:complexType>
              <xsd:all>
                <xsd:element ref="ns2:Process_x002f_Activity"/>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 minOccurs="0"/>
                <xsd:element ref="ns2:issx" minOccurs="0"/>
                <xsd:element ref="ns2:MediaServiceDateTaken" minOccurs="0"/>
                <xsd:element ref="ns2:MediaServiceAutoTags"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360-0b8b-4d96-b293-07daf5a519e5" elementFormDefault="qualified">
    <xsd:import namespace="http://schemas.microsoft.com/office/2006/documentManagement/types"/>
    <xsd:import namespace="http://schemas.microsoft.com/office/infopath/2007/PartnerControls"/>
    <xsd:element name="Process_x002f_Activity" ma:index="8" ma:displayName="Process/Activity" ma:default="Please select" ma:format="Dropdown" ma:internalName="Process_x002f_Activity">
      <xsd:simpleType>
        <xsd:restriction base="dms:Choice">
          <xsd:enumeration value="Please select"/>
          <xsd:enumeration value="Change management"/>
          <xsd:enumeration value="By-Laws"/>
          <xsd:enumeration value="Industry consultation"/>
          <xsd:enumeration value="Leasehold"/>
          <xsd:enumeration value="New strata forms"/>
          <xsd:enumeration value="Land titles registration"/>
          <xsd:enumeration value="Strata titles"/>
          <xsd:enumeration value="Business analysis"/>
          <xsd:enumeration value="State advisory service"/>
          <xsd:enumeration value="Regulations"/>
          <xsd:enumeration value="Strata  managers"/>
          <xsd:enumeration value="Terminations"/>
          <xsd:enumeration value="Reporting"/>
          <xsd:enumeration value="New - Please create option"/>
          <xsd:enumeration value="Adhoc"/>
        </xsd:restriction>
      </xsd:simpleType>
    </xsd:element>
    <xsd:element name="Document_x0020_Type" ma:index="9" ma:displayName="Document Type" ma:format="Dropdown" ma:internalName="Document_x0020_Type">
      <xsd:simpleType>
        <xsd:restriction base="dms:Choice">
          <xsd:enumeration value="Please Select"/>
          <xsd:enumeration value="Presentation"/>
          <xsd:enumeration value="Form"/>
          <xsd:enumeration value="Process"/>
          <xsd:enumeration value="Strategy"/>
          <xsd:enumeration value="Title"/>
          <xsd:enumeration value="TTA"/>
          <xsd:enumeration value="Research"/>
          <xsd:enumeration value="Worksheet"/>
          <xsd:enumeration value="Briefing Note"/>
          <xsd:enumeration value="Memo"/>
          <xsd:enumeration value="Drafting Instructions"/>
          <xsd:enumeration value="Letter"/>
          <xsd:enumeration value="Cab Sub"/>
          <xsd:enumeration value="Cab Comment"/>
          <xsd:enumeration value="Attachment"/>
          <xsd:enumeration value="Report"/>
          <xsd:enumeration value="Discussion Paper"/>
          <xsd:enumeration value="Guidelines"/>
          <xsd:enumeration value="Policy Paper"/>
          <xsd:enumeration value="Position Paper"/>
          <xsd:enumeration value="Corpex Paper"/>
          <xsd:enumeration value="Board Paper"/>
          <xsd:enumeration value="Agenda and Minutes"/>
          <xsd:enumeration value="Project Plans"/>
          <xsd:enumeration value="Regulations"/>
          <xsd:enumeration value="Presentation"/>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ent" ma:index="16" nillable="true" ma:displayName="Content " ma:default="Please select" ma:format="Dropdown" ma:internalName="Content">
      <xsd:simpleType>
        <xsd:restriction base="dms:Choice">
          <xsd:enumeration value="Please select"/>
          <xsd:enumeration value="Seminar"/>
          <xsd:enumeration value="Feedback"/>
          <xsd:enumeration value="Working document"/>
          <xsd:enumeration value="Data"/>
          <xsd:enumeration value="Update"/>
          <xsd:enumeration value="Microsite"/>
          <xsd:enumeration value="Mock-ups"/>
          <xsd:enumeration value="Guide"/>
          <xsd:enumeration value="Requirements"/>
          <xsd:enumeration value="Report"/>
          <xsd:enumeration value="New - please create option"/>
          <xsd:enumeration value="Ad hoc"/>
        </xsd:restriction>
      </xsd:simpleType>
    </xsd:element>
    <xsd:element name="issx" ma:index="17" nillable="true" ma:displayName="Reviewed by" ma:format="Dropdown" ma:list="UserInfo" ma:SharePointGroup="0" ma:internalName="iss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A255-B6C7-4F81-BAED-1EA934199503}">
  <ds:schemaRefs>
    <ds:schemaRef ds:uri="http://schemas.microsoft.com/sharepoint/v3/contenttype/forms"/>
  </ds:schemaRefs>
</ds:datastoreItem>
</file>

<file path=customXml/itemProps2.xml><?xml version="1.0" encoding="utf-8"?>
<ds:datastoreItem xmlns:ds="http://schemas.openxmlformats.org/officeDocument/2006/customXml" ds:itemID="{1FFDF763-92CE-4ED2-903A-31A34AE1C382}">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3.xml><?xml version="1.0" encoding="utf-8"?>
<ds:datastoreItem xmlns:ds="http://schemas.openxmlformats.org/officeDocument/2006/customXml" ds:itemID="{4C4E0C33-CAFB-4350-8C3C-E6DB163C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360-0b8b-4d96-b293-07daf5a519e5"/>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3962F-121A-4C8E-9C51-BA346ED5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1427</Words>
  <Characters>10125</Characters>
  <Application>Microsoft Office Word</Application>
  <DocSecurity>0</DocSecurity>
  <Lines>10125</Lines>
  <Paragraphs>888</Paragraphs>
  <ScaleCrop>false</ScaleCrop>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Dissenting Owners matrix</dc:title>
  <dc:subject/>
  <dc:creator>Joanne Daniel</dc:creator>
  <cp:keywords/>
  <dc:description/>
  <cp:lastModifiedBy>Ansobel Janetzky</cp:lastModifiedBy>
  <cp:revision>7</cp:revision>
  <dcterms:created xsi:type="dcterms:W3CDTF">2020-04-28T01:18:00Z</dcterms:created>
  <dcterms:modified xsi:type="dcterms:W3CDTF">2020-04-30T08:29:00Z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0x010100DDA604CBE7B14B4BBD6F331956CF5244</vt:lpwstr>
  </property>
</Properties>
</file>